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center"/>
        <w:rPr>
          <w:rFonts w:ascii="宋体" w:hAnsi="宋体" w:eastAsia="宋体"/>
          <w:sz w:val="40"/>
          <w:szCs w:val="36"/>
        </w:rPr>
      </w:pPr>
      <w:r>
        <w:rPr>
          <w:rFonts w:ascii="宋体" w:hAnsi="宋体" w:eastAsia="宋体"/>
          <w:sz w:val="40"/>
          <w:szCs w:val="36"/>
        </w:rPr>
      </w:r>
      <w:r/>
    </w:p>
    <w:p>
      <w:pPr>
        <w:pStyle w:val="723"/>
        <w:rPr>
          <w:rFonts w:ascii="宋体" w:hAnsi="宋体" w:eastAsia="宋体"/>
          <w:sz w:val="40"/>
          <w:szCs w:val="36"/>
        </w:rPr>
      </w:pPr>
      <w:r>
        <w:rPr>
          <w:rFonts w:ascii="宋体" w:hAnsi="宋体" w:eastAsia="宋体"/>
          <w:sz w:val="40"/>
          <w:szCs w:val="36"/>
        </w:rPr>
      </w:r>
      <w:r/>
    </w:p>
    <w:p>
      <w:pPr>
        <w:pStyle w:val="723"/>
        <w:jc w:val="center"/>
        <w:rPr>
          <w:rFonts w:ascii="宋体" w:hAnsi="宋体" w:eastAsia="宋体"/>
          <w:color w:val="000000"/>
          <w:szCs w:val="26"/>
        </w:rPr>
      </w:pPr>
      <w:r>
        <w:rPr>
          <w:rFonts w:ascii="宋体" w:hAnsi="宋体" w:eastAsia="宋体"/>
          <w:color w:val="000000"/>
          <w:szCs w:val="26"/>
        </w:rPr>
      </w:r>
      <w:r/>
    </w:p>
    <w:p>
      <w:pPr>
        <w:pStyle w:val="723"/>
        <w:jc w:val="center"/>
        <w:rPr>
          <w:rFonts w:ascii="宋体" w:hAnsi="宋体" w:eastAsia="宋体"/>
          <w:b/>
          <w:bCs/>
          <w:color w:val="000000"/>
          <w:sz w:val="72"/>
          <w:szCs w:val="72"/>
        </w:rPr>
      </w:pPr>
      <w:r>
        <w:rPr>
          <w:rFonts w:hint="eastAsia" w:ascii="宋体" w:hAnsi="宋体" w:eastAsia="宋体"/>
          <w:b/>
          <w:color w:val="000000"/>
          <w:sz w:val="72"/>
        </w:rPr>
        <w:t xml:space="preserve">苏 州 市 政 府 采 购 </w:t>
      </w:r>
      <w:r>
        <w:rPr>
          <w:rFonts w:ascii="宋体" w:hAnsi="宋体" w:eastAsia="宋体"/>
          <w:b/>
          <w:bCs/>
          <w:color w:val="000000"/>
          <w:sz w:val="72"/>
          <w:szCs w:val="72"/>
        </w:rPr>
      </w:r>
      <w:r/>
    </w:p>
    <w:p>
      <w:pPr>
        <w:pStyle w:val="723"/>
        <w:jc w:val="center"/>
        <w:rPr>
          <w:rFonts w:ascii="宋体" w:hAnsi="宋体" w:eastAsia="宋体"/>
          <w:b/>
          <w:bCs/>
          <w:color w:val="000000"/>
          <w:sz w:val="72"/>
          <w:szCs w:val="72"/>
        </w:rPr>
      </w:pPr>
      <w:r>
        <w:rPr>
          <w:rFonts w:hint="eastAsia" w:ascii="宋体" w:hAnsi="宋体" w:eastAsia="宋体"/>
          <w:b/>
          <w:color w:val="000000"/>
          <w:sz w:val="72"/>
        </w:rPr>
        <w:t xml:space="preserve">招 标 文 件</w:t>
      </w:r>
      <w:r>
        <w:rPr>
          <w:rFonts w:ascii="宋体" w:hAnsi="宋体" w:eastAsia="宋体"/>
          <w:b/>
          <w:bCs/>
          <w:color w:val="000000"/>
          <w:sz w:val="72"/>
          <w:szCs w:val="72"/>
        </w:rPr>
      </w:r>
      <w:r/>
    </w:p>
    <w:p>
      <w:pPr>
        <w:pStyle w:val="723"/>
        <w:jc w:val="center"/>
        <w:rPr>
          <w:rFonts w:ascii="宋体" w:hAnsi="宋体" w:eastAsia="宋体"/>
          <w:color w:val="000000"/>
          <w:szCs w:val="26"/>
        </w:rPr>
      </w:pPr>
      <w:r>
        <w:rPr>
          <w:rFonts w:ascii="宋体" w:hAnsi="宋体" w:eastAsia="宋体"/>
          <w:color w:val="000000"/>
          <w:szCs w:val="26"/>
        </w:rPr>
      </w:r>
      <w:r/>
    </w:p>
    <w:p>
      <w:pPr>
        <w:pStyle w:val="723"/>
        <w:jc w:val="center"/>
        <w:rPr>
          <w:rFonts w:ascii="宋体" w:hAnsi="宋体" w:eastAsia="宋体"/>
          <w:color w:val="000000"/>
          <w:szCs w:val="26"/>
        </w:rPr>
      </w:pPr>
      <w:r>
        <w:rPr>
          <w:rFonts w:ascii="宋体" w:hAnsi="宋体" w:eastAsia="宋体"/>
          <w:color w:val="000000"/>
          <w:szCs w:val="26"/>
        </w:rPr>
      </w:r>
      <w:r/>
    </w:p>
    <w:p>
      <w:pPr>
        <w:pStyle w:val="723"/>
        <w:ind w:firstLine="1285"/>
        <w:spacing w:line="360" w:lineRule="auto"/>
        <w:rPr>
          <w:rFonts w:ascii="宋体" w:hAnsi="宋体" w:eastAsia="宋体"/>
          <w:b/>
          <w:bCs/>
          <w:color w:val="000000"/>
          <w:sz w:val="32"/>
        </w:rPr>
      </w:pPr>
      <w:r>
        <w:rPr>
          <w:rFonts w:ascii="宋体" w:hAnsi="宋体" w:eastAsia="宋体"/>
          <w:b/>
          <w:bCs/>
          <w:color w:val="000000"/>
          <w:sz w:val="32"/>
        </w:rPr>
      </w:r>
      <w:r/>
    </w:p>
    <w:p>
      <w:pPr>
        <w:pStyle w:val="723"/>
        <w:ind w:firstLine="2249"/>
        <w:spacing w:line="360" w:lineRule="auto"/>
        <w:rPr>
          <w:rFonts w:hint="eastAsia" w:ascii="宋体" w:hAnsi="宋体" w:eastAsia="宋体"/>
          <w:b/>
          <w:bCs/>
          <w:color w:val="000000"/>
          <w:sz w:val="32"/>
        </w:rPr>
      </w:pPr>
      <w:r>
        <w:rPr>
          <w:rFonts w:hint="eastAsia" w:ascii="宋体" w:hAnsi="宋体" w:eastAsia="宋体"/>
          <w:b/>
          <w:bCs/>
          <w:color w:val="000000"/>
          <w:sz w:val="32"/>
        </w:rPr>
        <w:t xml:space="preserve">项目编号：</w:t>
      </w:r>
      <w:r>
        <w:rPr>
          <w:rFonts w:hint="eastAsia" w:ascii="宋体" w:hAnsi="宋体" w:eastAsia="宋体"/>
          <w:b/>
          <w:bCs/>
          <w:color w:val="000000"/>
          <w:sz w:val="32"/>
        </w:rPr>
        <w:t xml:space="preserve">JSZC-320500-SZHX-G2025-0045</w:t>
      </w:r>
      <w:r>
        <w:rPr>
          <w:rFonts w:hint="eastAsia" w:ascii="宋体" w:hAnsi="宋体" w:eastAsia="宋体"/>
          <w:b/>
          <w:bCs/>
          <w:color w:val="000000"/>
          <w:sz w:val="32"/>
        </w:rPr>
      </w:r>
      <w:r/>
    </w:p>
    <w:p>
      <w:pPr>
        <w:pStyle w:val="723"/>
        <w:ind w:firstLine="2249"/>
        <w:spacing w:line="360" w:lineRule="auto"/>
        <w:rPr>
          <w:rFonts w:ascii="宋体" w:hAnsi="宋体" w:eastAsia="宋体"/>
          <w:b/>
          <w:bCs/>
          <w:color w:val="000000"/>
          <w:sz w:val="32"/>
        </w:rPr>
      </w:pPr>
      <w:r>
        <w:rPr>
          <w:rFonts w:hint="eastAsia" w:ascii="宋体" w:hAnsi="宋体" w:eastAsia="宋体"/>
          <w:b/>
          <w:bCs/>
          <w:color w:val="000000"/>
          <w:sz w:val="32"/>
        </w:rPr>
        <w:t xml:space="preserve">采购单位：苏州市公安局</w:t>
      </w:r>
      <w:r>
        <w:rPr>
          <w:rFonts w:ascii="宋体" w:hAnsi="宋体" w:eastAsia="宋体"/>
          <w:b/>
          <w:bCs/>
          <w:color w:val="000000"/>
          <w:sz w:val="32"/>
        </w:rPr>
      </w:r>
      <w:r/>
    </w:p>
    <w:p>
      <w:pPr>
        <w:pStyle w:val="723"/>
        <w:ind w:firstLine="2249"/>
        <w:spacing w:line="360" w:lineRule="auto"/>
        <w:rPr>
          <w:rFonts w:hint="eastAsia" w:ascii="宋体" w:hAnsi="宋体" w:eastAsia="宋体"/>
          <w:b/>
          <w:bCs/>
          <w:color w:val="000000"/>
          <w:sz w:val="32"/>
        </w:rPr>
      </w:pPr>
      <w:r>
        <w:rPr>
          <w:rFonts w:hint="eastAsia" w:ascii="宋体" w:hAnsi="宋体" w:eastAsia="宋体"/>
          <w:b/>
          <w:bCs/>
          <w:color w:val="000000"/>
          <w:sz w:val="32"/>
        </w:rPr>
        <w:t xml:space="preserve">项目名称：苏州市公安局轨道公交分局食堂食材配送服务</w:t>
      </w:r>
      <w:r/>
    </w:p>
    <w:p>
      <w:pPr>
        <w:pStyle w:val="723"/>
        <w:ind w:firstLine="2249"/>
        <w:spacing w:line="360" w:lineRule="auto"/>
        <w:rPr>
          <w:rFonts w:ascii="宋体" w:hAnsi="宋体" w:eastAsia="宋体"/>
          <w:b/>
          <w:bCs/>
          <w:color w:val="000000"/>
          <w:sz w:val="32"/>
        </w:rPr>
      </w:pPr>
      <w:r>
        <w:rPr>
          <w:rFonts w:hint="eastAsia" w:ascii="宋体" w:hAnsi="宋体" w:eastAsia="宋体"/>
          <w:b/>
          <w:bCs/>
          <w:color w:val="000000"/>
          <w:sz w:val="32"/>
        </w:rPr>
        <w:t xml:space="preserve">项目类别：服务类</w:t>
      </w:r>
      <w:r>
        <w:rPr>
          <w:rFonts w:ascii="宋体" w:hAnsi="宋体" w:eastAsia="宋体"/>
          <w:b/>
          <w:bCs/>
          <w:color w:val="000000"/>
          <w:sz w:val="32"/>
        </w:rPr>
      </w:r>
      <w:r/>
    </w:p>
    <w:p>
      <w:pPr>
        <w:pStyle w:val="723"/>
        <w:jc w:val="center"/>
        <w:rPr>
          <w:rFonts w:ascii="宋体" w:hAnsi="宋体" w:eastAsia="宋体"/>
          <w:b/>
          <w:color w:val="000000"/>
          <w:szCs w:val="26"/>
        </w:rPr>
      </w:pPr>
      <w:r>
        <w:rPr>
          <w:rFonts w:ascii="宋体" w:hAnsi="宋体" w:eastAsia="宋体"/>
          <w:b/>
          <w:color w:val="000000"/>
          <w:szCs w:val="26"/>
        </w:rPr>
      </w:r>
      <w:r/>
    </w:p>
    <w:p>
      <w:pPr>
        <w:pStyle w:val="723"/>
        <w:jc w:val="center"/>
        <w:rPr>
          <w:rFonts w:ascii="宋体" w:hAnsi="宋体" w:eastAsia="宋体"/>
          <w:b/>
          <w:color w:val="000000"/>
          <w:szCs w:val="26"/>
        </w:rPr>
      </w:pPr>
      <w:r>
        <w:rPr>
          <w:rFonts w:ascii="宋体" w:hAnsi="宋体" w:eastAsia="宋体"/>
          <w:b/>
          <w:color w:val="000000"/>
          <w:szCs w:val="26"/>
        </w:rPr>
      </w:r>
      <w:r/>
    </w:p>
    <w:p>
      <w:pPr>
        <w:pStyle w:val="723"/>
        <w:jc w:val="center"/>
        <w:rPr>
          <w:rFonts w:ascii="宋体" w:hAnsi="宋体" w:eastAsia="宋体"/>
          <w:b/>
          <w:color w:val="000000"/>
          <w:szCs w:val="26"/>
        </w:rPr>
      </w:pPr>
      <w:r>
        <w:rPr>
          <w:rFonts w:ascii="宋体" w:hAnsi="宋体" w:eastAsia="宋体"/>
          <w:b/>
          <w:color w:val="000000"/>
          <w:szCs w:val="26"/>
        </w:rPr>
      </w:r>
      <w:r/>
    </w:p>
    <w:p>
      <w:pPr>
        <w:pStyle w:val="723"/>
        <w:jc w:val="center"/>
        <w:rPr>
          <w:rFonts w:ascii="宋体" w:hAnsi="宋体" w:eastAsia="宋体"/>
          <w:b/>
          <w:color w:val="000000"/>
          <w:szCs w:val="26"/>
        </w:rPr>
      </w:pPr>
      <w:r>
        <w:rPr>
          <w:rFonts w:ascii="宋体" w:hAnsi="宋体" w:eastAsia="宋体"/>
          <w:b/>
          <w:color w:val="000000"/>
          <w:szCs w:val="26"/>
        </w:rPr>
      </w:r>
      <w:r/>
    </w:p>
    <w:p>
      <w:pPr>
        <w:pStyle w:val="723"/>
        <w:jc w:val="center"/>
        <w:rPr>
          <w:rFonts w:ascii="宋体" w:hAnsi="宋体" w:eastAsia="宋体"/>
          <w:b/>
          <w:color w:val="000000"/>
          <w:szCs w:val="26"/>
        </w:rPr>
      </w:pPr>
      <w:r>
        <w:rPr>
          <w:rFonts w:ascii="宋体" w:hAnsi="宋体" w:eastAsia="宋体"/>
          <w:b/>
          <w:color w:val="000000"/>
          <w:szCs w:val="26"/>
        </w:rPr>
      </w:r>
      <w:r/>
    </w:p>
    <w:p>
      <w:pPr>
        <w:pStyle w:val="723"/>
        <w:jc w:val="center"/>
        <w:rPr>
          <w:rFonts w:ascii="宋体" w:hAnsi="宋体" w:eastAsia="宋体"/>
          <w:b/>
          <w:color w:val="000000"/>
          <w:szCs w:val="26"/>
        </w:rPr>
      </w:pPr>
      <w:r>
        <w:rPr>
          <w:rFonts w:ascii="宋体" w:hAnsi="宋体" w:eastAsia="宋体"/>
          <w:b/>
          <w:color w:val="000000"/>
          <w:szCs w:val="26"/>
        </w:rPr>
      </w:r>
      <w:r/>
    </w:p>
    <w:p>
      <w:pPr>
        <w:pStyle w:val="723"/>
        <w:jc w:val="center"/>
        <w:rPr>
          <w:rFonts w:ascii="宋体" w:hAnsi="宋体" w:eastAsia="宋体"/>
          <w:b/>
          <w:color w:val="000000"/>
          <w:szCs w:val="26"/>
        </w:rPr>
      </w:pPr>
      <w:r>
        <w:rPr>
          <w:rFonts w:ascii="宋体" w:hAnsi="宋体" w:eastAsia="宋体"/>
          <w:b/>
          <w:color w:val="000000"/>
          <w:szCs w:val="26"/>
        </w:rPr>
      </w:r>
      <w:r/>
    </w:p>
    <w:p>
      <w:pPr>
        <w:pStyle w:val="723"/>
        <w:jc w:val="center"/>
        <w:rPr>
          <w:rFonts w:ascii="宋体" w:hAnsi="宋体" w:eastAsia="宋体"/>
          <w:b/>
          <w:color w:val="000000"/>
          <w:szCs w:val="26"/>
        </w:rPr>
      </w:pPr>
      <w:r>
        <w:rPr>
          <w:rFonts w:ascii="宋体" w:hAnsi="宋体" w:eastAsia="宋体"/>
          <w:b/>
          <w:color w:val="000000"/>
          <w:szCs w:val="26"/>
        </w:rPr>
      </w:r>
      <w:r/>
    </w:p>
    <w:p>
      <w:pPr>
        <w:pStyle w:val="723"/>
        <w:jc w:val="center"/>
        <w:rPr>
          <w:rFonts w:ascii="宋体" w:hAnsi="宋体" w:eastAsia="宋体"/>
          <w:b/>
          <w:color w:val="000000"/>
          <w:szCs w:val="26"/>
        </w:rPr>
      </w:pPr>
      <w:r>
        <w:rPr>
          <w:rFonts w:ascii="宋体" w:hAnsi="宋体" w:eastAsia="宋体"/>
          <w:b/>
          <w:color w:val="000000"/>
          <w:szCs w:val="26"/>
        </w:rPr>
      </w:r>
      <w:r/>
    </w:p>
    <w:p>
      <w:pPr>
        <w:pStyle w:val="723"/>
        <w:jc w:val="center"/>
        <w:rPr>
          <w:rFonts w:ascii="宋体" w:hAnsi="宋体" w:eastAsia="宋体"/>
          <w:b/>
          <w:color w:val="000000"/>
          <w:szCs w:val="26"/>
        </w:rPr>
      </w:pPr>
      <w:r>
        <w:rPr>
          <w:rFonts w:ascii="宋体" w:hAnsi="宋体" w:eastAsia="宋体"/>
          <w:b/>
          <w:color w:val="000000"/>
          <w:szCs w:val="26"/>
        </w:rPr>
      </w:r>
      <w:r/>
    </w:p>
    <w:p>
      <w:pPr>
        <w:pStyle w:val="723"/>
        <w:jc w:val="center"/>
        <w:rPr>
          <w:rFonts w:ascii="宋体" w:hAnsi="宋体" w:eastAsia="宋体"/>
          <w:b/>
          <w:color w:val="000000"/>
          <w:szCs w:val="26"/>
        </w:rPr>
      </w:pPr>
      <w:r>
        <w:rPr>
          <w:rFonts w:ascii="宋体" w:hAnsi="宋体" w:eastAsia="宋体"/>
          <w:b/>
          <w:color w:val="000000"/>
          <w:szCs w:val="26"/>
        </w:rPr>
      </w:r>
      <w:r/>
    </w:p>
    <w:p>
      <w:pPr>
        <w:pStyle w:val="723"/>
        <w:jc w:val="center"/>
        <w:rPr>
          <w:rFonts w:ascii="宋体" w:hAnsi="宋体" w:eastAsia="宋体"/>
          <w:b/>
          <w:color w:val="000000"/>
          <w:szCs w:val="26"/>
        </w:rPr>
      </w:pPr>
      <w:r>
        <w:rPr>
          <w:rFonts w:ascii="宋体" w:hAnsi="宋体" w:eastAsia="宋体"/>
          <w:b/>
          <w:color w:val="000000"/>
          <w:szCs w:val="26"/>
        </w:rPr>
      </w:r>
      <w:r/>
    </w:p>
    <w:p>
      <w:pPr>
        <w:pStyle w:val="723"/>
        <w:jc w:val="center"/>
        <w:rPr>
          <w:rFonts w:ascii="宋体" w:hAnsi="宋体" w:eastAsia="宋体"/>
          <w:b/>
          <w:color w:val="000000"/>
          <w:szCs w:val="26"/>
        </w:rPr>
      </w:pPr>
      <w:r>
        <w:rPr>
          <w:rFonts w:ascii="宋体" w:hAnsi="宋体" w:eastAsia="宋体"/>
          <w:b/>
          <w:color w:val="000000"/>
          <w:szCs w:val="26"/>
        </w:rPr>
      </w:r>
      <w:r/>
    </w:p>
    <w:p>
      <w:pPr>
        <w:pStyle w:val="723"/>
        <w:jc w:val="center"/>
        <w:spacing w:line="360" w:lineRule="auto"/>
        <w:rPr>
          <w:rFonts w:ascii="宋体" w:hAnsi="宋体" w:eastAsia="宋体"/>
          <w:b/>
          <w:color w:val="000000"/>
          <w:sz w:val="32"/>
        </w:rPr>
      </w:pPr>
      <w:r>
        <w:rPr>
          <w:rFonts w:hint="eastAsia" w:ascii="宋体" w:hAnsi="宋体" w:eastAsia="宋体"/>
          <w:b/>
          <w:color w:val="000000"/>
          <w:sz w:val="32"/>
        </w:rPr>
        <w:t xml:space="preserve">苏州鸿鑫工程咨询有限公司</w:t>
      </w:r>
      <w:r>
        <w:rPr>
          <w:rFonts w:ascii="宋体" w:hAnsi="宋体" w:eastAsia="宋体"/>
          <w:b/>
          <w:color w:val="000000"/>
          <w:sz w:val="32"/>
        </w:rPr>
      </w:r>
      <w:r/>
    </w:p>
    <w:p>
      <w:pPr>
        <w:pStyle w:val="723"/>
        <w:jc w:val="center"/>
        <w:spacing w:line="360" w:lineRule="auto"/>
        <w:rPr>
          <w:rFonts w:ascii="宋体" w:hAnsi="宋体" w:eastAsia="宋体"/>
          <w:b/>
          <w:color w:val="000000"/>
          <w:sz w:val="32"/>
        </w:rPr>
      </w:pPr>
      <w:r>
        <w:rPr>
          <w:rFonts w:hint="eastAsia" w:ascii="宋体" w:hAnsi="宋体" w:eastAsia="宋体"/>
          <w:b/>
          <w:color w:val="000000"/>
          <w:sz w:val="32"/>
        </w:rPr>
        <w:t xml:space="preserve">二○二五年十月</w:t>
      </w:r>
      <w:r>
        <w:rPr>
          <w:rFonts w:ascii="宋体" w:hAnsi="宋体" w:eastAsia="宋体"/>
          <w:b/>
          <w:color w:val="000000"/>
          <w:sz w:val="32"/>
        </w:rPr>
      </w:r>
      <w:r/>
    </w:p>
    <w:p>
      <w:pPr>
        <w:pStyle w:val="723"/>
        <w:jc w:val="center"/>
        <w:spacing w:line="360" w:lineRule="auto"/>
        <w:rPr>
          <w:rFonts w:ascii="宋体" w:hAnsi="宋体" w:eastAsia="宋体"/>
          <w:b/>
          <w:color w:val="000000"/>
          <w:sz w:val="36"/>
        </w:rPr>
      </w:pPr>
      <w:r>
        <w:rPr>
          <w:rFonts w:ascii="宋体" w:hAnsi="宋体" w:eastAsia="宋体"/>
          <w:b/>
          <w:color w:val="000000"/>
          <w:sz w:val="36"/>
        </w:rPr>
        <w:br w:type="page" w:clear="all"/>
      </w:r>
      <w:r>
        <w:rPr>
          <w:rFonts w:ascii="宋体" w:hAnsi="宋体" w:eastAsia="宋体"/>
          <w:b/>
          <w:color w:val="000000"/>
          <w:sz w:val="36"/>
        </w:rPr>
      </w:r>
      <w:r/>
    </w:p>
    <w:p>
      <w:pPr>
        <w:pStyle w:val="723"/>
        <w:jc w:val="center"/>
        <w:rPr>
          <w:rFonts w:ascii="宋体" w:hAnsi="宋体" w:eastAsia="宋体"/>
          <w:b/>
          <w:color w:val="000000"/>
          <w:sz w:val="24"/>
          <w:szCs w:val="24"/>
        </w:rPr>
      </w:pPr>
      <w:r>
        <w:rPr>
          <w:rFonts w:hint="eastAsia" w:ascii="宋体" w:hAnsi="宋体" w:eastAsia="宋体"/>
          <w:b/>
          <w:color w:val="000000"/>
          <w:sz w:val="24"/>
          <w:szCs w:val="24"/>
        </w:rPr>
        <w:t xml:space="preserve">前附表</w:t>
      </w:r>
      <w:r>
        <w:rPr>
          <w:rFonts w:ascii="宋体" w:hAnsi="宋体" w:eastAsia="宋体"/>
          <w:b/>
          <w:color w:val="000000"/>
          <w:sz w:val="24"/>
          <w:szCs w:val="24"/>
        </w:rPr>
      </w:r>
      <w:r/>
    </w:p>
    <w:tbl>
      <w:tblPr>
        <w:tblW w:w="963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8921"/>
      </w:tblGrid>
      <w:tr>
        <w:trPr>
          <w:trHeight w:val="92"/>
        </w:trPr>
        <w:tc>
          <w:tcPr>
            <w:tcW w:w="710" w:type="dxa"/>
            <w:vAlign w:val="center"/>
            <w:textDirection w:val="lrTb"/>
            <w:noWrap w:val="false"/>
          </w:tcPr>
          <w:p>
            <w:pPr>
              <w:pStyle w:val="723"/>
              <w:jc w:val="center"/>
              <w:rPr>
                <w:rFonts w:ascii="宋体" w:hAnsi="宋体" w:eastAsia="宋体"/>
                <w:b/>
                <w:color w:val="000000"/>
                <w:sz w:val="24"/>
                <w:szCs w:val="24"/>
              </w:rPr>
            </w:pPr>
            <w:r>
              <w:rPr>
                <w:rFonts w:hint="eastAsia" w:ascii="宋体" w:hAnsi="宋体" w:eastAsia="宋体"/>
                <w:b/>
                <w:color w:val="000000"/>
                <w:sz w:val="24"/>
                <w:szCs w:val="24"/>
              </w:rPr>
              <w:t xml:space="preserve">序号</w:t>
            </w:r>
            <w:r>
              <w:rPr>
                <w:rFonts w:ascii="宋体" w:hAnsi="宋体" w:eastAsia="宋体"/>
                <w:b/>
                <w:color w:val="000000"/>
                <w:sz w:val="24"/>
                <w:szCs w:val="24"/>
              </w:rPr>
            </w:r>
            <w:r/>
          </w:p>
        </w:tc>
        <w:tc>
          <w:tcPr>
            <w:tcW w:w="8921" w:type="dxa"/>
            <w:vAlign w:val="center"/>
            <w:textDirection w:val="lrTb"/>
            <w:noWrap w:val="false"/>
          </w:tcPr>
          <w:p>
            <w:pPr>
              <w:pStyle w:val="723"/>
              <w:jc w:val="center"/>
              <w:rPr>
                <w:rFonts w:ascii="宋体" w:hAnsi="宋体" w:eastAsia="宋体"/>
                <w:b/>
                <w:color w:val="000000"/>
                <w:sz w:val="24"/>
                <w:szCs w:val="24"/>
              </w:rPr>
            </w:pPr>
            <w:r>
              <w:rPr>
                <w:rFonts w:hint="eastAsia" w:ascii="宋体" w:hAnsi="宋体" w:eastAsia="宋体"/>
                <w:b/>
                <w:color w:val="000000"/>
                <w:sz w:val="24"/>
                <w:szCs w:val="24"/>
              </w:rPr>
              <w:t xml:space="preserve">内容规定</w:t>
            </w:r>
            <w:r>
              <w:rPr>
                <w:rFonts w:ascii="宋体" w:hAnsi="宋体" w:eastAsia="宋体"/>
                <w:b/>
                <w:color w:val="000000"/>
                <w:sz w:val="24"/>
                <w:szCs w:val="24"/>
              </w:rPr>
            </w:r>
            <w:r/>
          </w:p>
        </w:tc>
      </w:tr>
      <w:tr>
        <w:trPr>
          <w:trHeight w:val="489"/>
        </w:trPr>
        <w:tc>
          <w:tcPr>
            <w:tcW w:w="710" w:type="dxa"/>
            <w:vAlign w:val="center"/>
            <w:textDirection w:val="lrTb"/>
            <w:noWrap w:val="false"/>
          </w:tcPr>
          <w:p>
            <w:pPr>
              <w:pStyle w:val="723"/>
              <w:jc w:val="center"/>
              <w:rPr>
                <w:rFonts w:ascii="宋体" w:hAnsi="宋体" w:eastAsia="宋体"/>
                <w:color w:val="000000"/>
                <w:sz w:val="24"/>
                <w:szCs w:val="24"/>
              </w:rPr>
            </w:pPr>
            <w:r>
              <w:rPr>
                <w:rFonts w:ascii="宋体" w:hAnsi="宋体" w:eastAsia="宋体"/>
                <w:color w:val="000000"/>
                <w:sz w:val="24"/>
                <w:szCs w:val="24"/>
              </w:rPr>
              <w:t xml:space="preserve">1</w:t>
            </w:r>
            <w:r/>
          </w:p>
        </w:tc>
        <w:tc>
          <w:tcPr>
            <w:tcW w:w="8921" w:type="dxa"/>
            <w:vAlign w:val="center"/>
            <w:textDirection w:val="lrTb"/>
            <w:noWrap w:val="false"/>
          </w:tcPr>
          <w:p>
            <w:pPr>
              <w:pStyle w:val="723"/>
              <w:rPr>
                <w:rFonts w:hint="eastAsia" w:ascii="宋体" w:hAnsi="宋体" w:eastAsia="宋体"/>
                <w:color w:val="000000"/>
                <w:sz w:val="24"/>
                <w:szCs w:val="24"/>
              </w:rPr>
            </w:pPr>
            <w:r>
              <w:rPr>
                <w:rFonts w:hint="eastAsia" w:ascii="宋体" w:hAnsi="宋体" w:eastAsia="宋体"/>
                <w:color w:val="000000"/>
                <w:sz w:val="24"/>
                <w:szCs w:val="24"/>
              </w:rPr>
              <w:t xml:space="preserve">招标内容：苏州市公安局轨道公交分局食堂食材配送服务</w:t>
            </w:r>
            <w:r/>
          </w:p>
        </w:tc>
      </w:tr>
      <w:tr>
        <w:trPr>
          <w:trHeight w:val="437"/>
        </w:trPr>
        <w:tc>
          <w:tcPr>
            <w:tcW w:w="710" w:type="dxa"/>
            <w:vAlign w:val="center"/>
            <w:textDirection w:val="lrTb"/>
            <w:noWrap w:val="false"/>
          </w:tcPr>
          <w:p>
            <w:pPr>
              <w:pStyle w:val="723"/>
              <w:jc w:val="center"/>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W w:w="8921" w:type="dxa"/>
            <w:vAlign w:val="center"/>
            <w:textDirection w:val="lrTb"/>
            <w:noWrap w:val="false"/>
          </w:tcPr>
          <w:p>
            <w:pPr>
              <w:pStyle w:val="723"/>
              <w:rPr>
                <w:rFonts w:ascii="宋体" w:hAnsi="宋体" w:eastAsia="宋体"/>
                <w:color w:val="000000"/>
                <w:sz w:val="24"/>
                <w:szCs w:val="24"/>
              </w:rPr>
            </w:pPr>
            <w:r>
              <w:rPr>
                <w:rFonts w:hint="eastAsia" w:ascii="宋体" w:hAnsi="宋体" w:eastAsia="宋体"/>
                <w:color w:val="000000"/>
                <w:sz w:val="24"/>
                <w:szCs w:val="24"/>
              </w:rPr>
              <w:t xml:space="preserve">投标有效期自投标</w:t>
            </w:r>
            <w:r>
              <w:rPr>
                <w:rFonts w:ascii="宋体" w:hAnsi="宋体" w:eastAsia="宋体"/>
                <w:color w:val="000000"/>
                <w:sz w:val="24"/>
                <w:szCs w:val="24"/>
              </w:rPr>
              <w:t xml:space="preserve">截止日</w:t>
            </w:r>
            <w:r>
              <w:rPr>
                <w:rFonts w:hint="eastAsia" w:ascii="宋体" w:hAnsi="宋体" w:eastAsia="宋体"/>
                <w:color w:val="000000"/>
                <w:sz w:val="24"/>
                <w:szCs w:val="24"/>
              </w:rPr>
              <w:t xml:space="preserve">起六十天（日历日）</w:t>
            </w:r>
            <w:r>
              <w:rPr>
                <w:rFonts w:ascii="宋体" w:hAnsi="宋体" w:eastAsia="宋体"/>
                <w:color w:val="000000"/>
                <w:sz w:val="24"/>
                <w:szCs w:val="24"/>
              </w:rPr>
            </w:r>
            <w:r/>
          </w:p>
        </w:tc>
      </w:tr>
      <w:tr>
        <w:trPr>
          <w:trHeight w:val="399"/>
        </w:trPr>
        <w:tc>
          <w:tcPr>
            <w:tcW w:w="710" w:type="dxa"/>
            <w:vAlign w:val="center"/>
            <w:textDirection w:val="lrTb"/>
            <w:noWrap w:val="false"/>
          </w:tcPr>
          <w:p>
            <w:pPr>
              <w:pStyle w:val="723"/>
              <w:jc w:val="center"/>
              <w:rPr>
                <w:rFonts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r>
            <w:r/>
          </w:p>
        </w:tc>
        <w:tc>
          <w:tcPr>
            <w:tcW w:w="8921" w:type="dxa"/>
            <w:vAlign w:val="center"/>
            <w:textDirection w:val="lrTb"/>
            <w:noWrap w:val="false"/>
          </w:tcPr>
          <w:p>
            <w:pPr>
              <w:pStyle w:val="768"/>
              <w:rPr>
                <w:rFonts w:hAnsi="宋体" w:eastAsia="宋体"/>
                <w:color w:val="000000"/>
                <w:sz w:val="24"/>
                <w:szCs w:val="24"/>
              </w:rPr>
            </w:pPr>
            <w:r>
              <w:rPr>
                <w:rFonts w:hint="eastAsia" w:hAnsi="宋体" w:eastAsia="宋体"/>
                <w:color w:val="000000"/>
                <w:sz w:val="24"/>
                <w:szCs w:val="24"/>
              </w:rPr>
              <w:t xml:space="preserve">投标保证金数额：本项目不收取投标保证金。</w:t>
            </w:r>
            <w:r>
              <w:rPr>
                <w:rFonts w:hAnsi="宋体" w:eastAsia="宋体"/>
                <w:color w:val="000000"/>
                <w:sz w:val="24"/>
                <w:szCs w:val="24"/>
              </w:rPr>
            </w:r>
            <w:r/>
          </w:p>
        </w:tc>
      </w:tr>
      <w:tr>
        <w:trPr>
          <w:trHeight w:val="819"/>
        </w:trPr>
        <w:tc>
          <w:tcPr>
            <w:tcW w:w="710" w:type="dxa"/>
            <w:vAlign w:val="center"/>
            <w:textDirection w:val="lrTb"/>
            <w:noWrap w:val="false"/>
          </w:tcPr>
          <w:p>
            <w:pPr>
              <w:pStyle w:val="723"/>
              <w:jc w:val="center"/>
              <w:rPr>
                <w:rFonts w:ascii="宋体" w:hAnsi="宋体" w:eastAsia="宋体"/>
                <w:color w:val="000000"/>
                <w:sz w:val="24"/>
                <w:szCs w:val="24"/>
              </w:rPr>
            </w:pPr>
            <w:r>
              <w:rPr>
                <w:rFonts w:hint="eastAsia" w:ascii="宋体" w:hAnsi="宋体" w:eastAsia="宋体"/>
                <w:sz w:val="24"/>
                <w:szCs w:val="24"/>
              </w:rPr>
              <w:t xml:space="preserve">4</w:t>
            </w:r>
            <w:r>
              <w:rPr>
                <w:rFonts w:ascii="宋体" w:hAnsi="宋体" w:eastAsia="宋体"/>
                <w:color w:val="000000"/>
                <w:sz w:val="24"/>
                <w:szCs w:val="24"/>
              </w:rPr>
            </w:r>
            <w:r/>
          </w:p>
        </w:tc>
        <w:tc>
          <w:tcPr>
            <w:tcW w:w="8921" w:type="dxa"/>
            <w:vAlign w:val="center"/>
            <w:textDirection w:val="lrTb"/>
            <w:noWrap w:val="false"/>
          </w:tcPr>
          <w:p>
            <w:pPr>
              <w:pStyle w:val="723"/>
              <w:rPr>
                <w:rFonts w:ascii="宋体" w:hAnsi="宋体" w:eastAsia="宋体"/>
                <w:color w:val="000000"/>
                <w:sz w:val="24"/>
                <w:szCs w:val="24"/>
              </w:rPr>
            </w:pPr>
            <w:r>
              <w:rPr>
                <w:rFonts w:hint="eastAsia" w:ascii="宋体" w:hAnsi="宋体" w:eastAsia="宋体"/>
                <w:sz w:val="24"/>
                <w:szCs w:val="24"/>
              </w:rPr>
              <w:t xml:space="preserve">投标文件份数：本项目采用电子投标文件，投标单位按照招标文件要求制作上传电子投标文件，投标单位无需提供纸质投标文件。</w:t>
            </w:r>
            <w:r>
              <w:rPr>
                <w:rFonts w:ascii="宋体" w:hAnsi="宋体" w:eastAsia="宋体"/>
                <w:color w:val="000000"/>
                <w:sz w:val="24"/>
                <w:szCs w:val="24"/>
              </w:rPr>
            </w:r>
            <w:r/>
          </w:p>
        </w:tc>
      </w:tr>
      <w:tr>
        <w:trPr>
          <w:trHeight w:val="2391"/>
        </w:trPr>
        <w:tc>
          <w:tcPr>
            <w:tcW w:w="710" w:type="dxa"/>
            <w:vAlign w:val="center"/>
            <w:textDirection w:val="lrTb"/>
            <w:noWrap w:val="false"/>
          </w:tcPr>
          <w:p>
            <w:pPr>
              <w:pStyle w:val="723"/>
              <w:jc w:val="center"/>
              <w:rPr>
                <w:rFonts w:ascii="宋体" w:hAnsi="宋体" w:eastAsia="宋体"/>
                <w:color w:val="000000"/>
                <w:sz w:val="24"/>
                <w:szCs w:val="24"/>
              </w:rPr>
            </w:pPr>
            <w:r>
              <w:rPr>
                <w:rFonts w:hint="eastAsia" w:ascii="宋体" w:hAnsi="宋体" w:eastAsia="宋体"/>
                <w:sz w:val="24"/>
                <w:szCs w:val="24"/>
              </w:rPr>
              <w:t xml:space="preserve">5</w:t>
            </w:r>
            <w:r>
              <w:rPr>
                <w:rFonts w:ascii="宋体" w:hAnsi="宋体" w:eastAsia="宋体"/>
                <w:color w:val="000000"/>
                <w:sz w:val="24"/>
                <w:szCs w:val="24"/>
              </w:rPr>
            </w:r>
            <w:r/>
          </w:p>
        </w:tc>
        <w:tc>
          <w:tcPr>
            <w:tcW w:w="8921" w:type="dxa"/>
            <w:vAlign w:val="center"/>
            <w:textDirection w:val="lrTb"/>
            <w:noWrap w:val="false"/>
          </w:tcPr>
          <w:p>
            <w:pPr>
              <w:pStyle w:val="723"/>
              <w:rPr>
                <w:rFonts w:ascii="宋体" w:hAnsi="宋体" w:eastAsia="宋体"/>
                <w:sz w:val="24"/>
                <w:szCs w:val="24"/>
              </w:rPr>
            </w:pPr>
            <w:r>
              <w:rPr>
                <w:rFonts w:hint="eastAsia" w:ascii="宋体" w:hAnsi="宋体" w:eastAsia="宋体"/>
                <w:sz w:val="24"/>
                <w:szCs w:val="24"/>
              </w:rPr>
              <w:t xml:space="preserve">投标文件网上提交截止时间：2025年11月18日9点30分（北京时间）</w:t>
            </w:r>
            <w:r>
              <w:rPr>
                <w:rFonts w:ascii="宋体" w:hAnsi="宋体" w:eastAsia="宋体"/>
                <w:sz w:val="24"/>
                <w:szCs w:val="24"/>
              </w:rPr>
            </w:r>
            <w:r/>
          </w:p>
          <w:p>
            <w:pPr>
              <w:pStyle w:val="723"/>
              <w:rPr>
                <w:rFonts w:ascii="宋体" w:hAnsi="宋体" w:eastAsia="宋体"/>
                <w:sz w:val="24"/>
                <w:szCs w:val="24"/>
              </w:rPr>
            </w:pPr>
            <w:r>
              <w:rPr>
                <w:rFonts w:hint="eastAsia" w:ascii="宋体" w:hAnsi="宋体" w:eastAsia="宋体"/>
                <w:sz w:val="24"/>
                <w:szCs w:val="24"/>
              </w:rPr>
              <w:t xml:space="preserve">投标文件必须在截止时间前完成提交（上传），逾期提交（上传）的投标文件恕不接受。</w:t>
            </w:r>
            <w:r>
              <w:rPr>
                <w:rFonts w:ascii="宋体" w:hAnsi="宋体" w:eastAsia="宋体"/>
                <w:sz w:val="24"/>
                <w:szCs w:val="24"/>
              </w:rPr>
            </w:r>
            <w:r/>
          </w:p>
          <w:p>
            <w:pPr>
              <w:pStyle w:val="723"/>
              <w:rPr>
                <w:rFonts w:ascii="宋体" w:hAnsi="宋体" w:eastAsia="宋体"/>
                <w:sz w:val="24"/>
                <w:szCs w:val="24"/>
              </w:rPr>
            </w:pPr>
            <w:r>
              <w:rPr>
                <w:rFonts w:hint="eastAsia" w:ascii="宋体" w:hAnsi="宋体" w:eastAsia="宋体"/>
                <w:sz w:val="24"/>
                <w:szCs w:val="24"/>
              </w:rPr>
              <w:t xml:space="preserve">开标时间：2025年11月18日9点30分（北京时间）</w:t>
            </w:r>
            <w:r>
              <w:rPr>
                <w:rFonts w:ascii="宋体" w:hAnsi="宋体" w:eastAsia="宋体"/>
                <w:sz w:val="24"/>
                <w:szCs w:val="24"/>
              </w:rPr>
            </w:r>
            <w:r/>
          </w:p>
          <w:p>
            <w:pPr>
              <w:pStyle w:val="723"/>
              <w:rPr>
                <w:rFonts w:ascii="宋体" w:hAnsi="宋体" w:eastAsia="宋体"/>
                <w:sz w:val="24"/>
                <w:szCs w:val="24"/>
              </w:rPr>
            </w:pPr>
            <w:r>
              <w:rPr>
                <w:rFonts w:hint="eastAsia" w:ascii="宋体" w:hAnsi="宋体" w:eastAsia="宋体"/>
                <w:sz w:val="24"/>
                <w:szCs w:val="24"/>
              </w:rPr>
              <w:t xml:space="preserve">开标地点：“苏采云”系统（网址：http://jszfcg.jsczt.cn/）</w:t>
            </w:r>
            <w:r>
              <w:rPr>
                <w:rFonts w:ascii="宋体" w:hAnsi="宋体" w:eastAsia="宋体"/>
                <w:sz w:val="24"/>
                <w:szCs w:val="24"/>
              </w:rPr>
            </w:r>
            <w:r/>
          </w:p>
          <w:p>
            <w:pPr>
              <w:pStyle w:val="723"/>
              <w:rPr>
                <w:rFonts w:ascii="宋体" w:hAnsi="宋体" w:eastAsia="宋体"/>
                <w:color w:val="000000"/>
                <w:sz w:val="24"/>
                <w:szCs w:val="24"/>
              </w:rPr>
            </w:pPr>
            <w:r>
              <w:rPr>
                <w:rFonts w:hint="eastAsia" w:ascii="宋体" w:hAnsi="宋体" w:eastAsia="宋体"/>
                <w:b/>
                <w:bCs/>
                <w:sz w:val="24"/>
                <w:szCs w:val="24"/>
              </w:rPr>
              <w:t xml:space="preserve">本项目为不见面开标项目，开标阶段供应商在【供应商解密】环节必须使用</w:t>
            </w:r>
            <w:r>
              <w:rPr>
                <w:rFonts w:ascii="宋体" w:hAnsi="宋体" w:eastAsia="宋体"/>
                <w:b/>
                <w:bCs/>
                <w:sz w:val="24"/>
                <w:szCs w:val="24"/>
              </w:rPr>
              <w:t xml:space="preserve">CA</w:t>
            </w:r>
            <w:r>
              <w:rPr>
                <w:rFonts w:hint="eastAsia" w:ascii="宋体" w:hAnsi="宋体" w:eastAsia="宋体"/>
                <w:b/>
                <w:bCs/>
                <w:sz w:val="24"/>
                <w:szCs w:val="24"/>
              </w:rPr>
              <w:t xml:space="preserve">证书解密电子投标文件，如在系统规定的解密时间内未能完成解密的视为放弃投标。</w:t>
            </w:r>
            <w:r>
              <w:rPr>
                <w:rFonts w:ascii="宋体" w:hAnsi="宋体" w:eastAsia="宋体"/>
                <w:color w:val="000000"/>
                <w:sz w:val="24"/>
                <w:szCs w:val="24"/>
              </w:rPr>
            </w:r>
            <w:r/>
          </w:p>
        </w:tc>
      </w:tr>
      <w:tr>
        <w:trPr/>
        <w:tc>
          <w:tcPr>
            <w:tcW w:w="710" w:type="dxa"/>
            <w:vAlign w:val="center"/>
            <w:textDirection w:val="lrTb"/>
            <w:noWrap w:val="false"/>
          </w:tcPr>
          <w:p>
            <w:pPr>
              <w:pStyle w:val="723"/>
              <w:jc w:val="center"/>
              <w:rPr>
                <w:rFonts w:ascii="宋体" w:hAnsi="宋体" w:eastAsia="宋体"/>
                <w:color w:val="000000"/>
                <w:sz w:val="24"/>
                <w:szCs w:val="24"/>
              </w:rPr>
            </w:pPr>
            <w:r>
              <w:rPr>
                <w:rFonts w:ascii="宋体" w:hAnsi="宋体" w:eastAsia="宋体"/>
                <w:color w:val="000000"/>
                <w:sz w:val="24"/>
                <w:szCs w:val="24"/>
              </w:rPr>
              <w:t xml:space="preserve">6</w:t>
            </w:r>
            <w:r/>
          </w:p>
        </w:tc>
        <w:tc>
          <w:tcPr>
            <w:tcW w:w="8921" w:type="dxa"/>
            <w:vAlign w:val="center"/>
            <w:textDirection w:val="lrTb"/>
            <w:noWrap w:val="false"/>
          </w:tcPr>
          <w:p>
            <w:pPr>
              <w:pStyle w:val="723"/>
              <w:rPr>
                <w:rFonts w:ascii="宋体" w:hAnsi="宋体" w:eastAsia="宋体"/>
                <w:sz w:val="24"/>
                <w:szCs w:val="24"/>
              </w:rPr>
            </w:pPr>
            <w:r>
              <w:rPr>
                <w:rFonts w:hint="eastAsia" w:ascii="宋体" w:hAnsi="宋体" w:eastAsia="宋体"/>
                <w:sz w:val="24"/>
                <w:szCs w:val="24"/>
              </w:rPr>
              <w:t xml:space="preserve">代理服务费在领取中标通知书时中标人向采购代理机构一次性付清。</w:t>
            </w:r>
            <w:r>
              <w:rPr>
                <w:rFonts w:ascii="宋体" w:hAnsi="宋体" w:eastAsia="宋体"/>
                <w:sz w:val="24"/>
                <w:szCs w:val="24"/>
              </w:rPr>
            </w:r>
            <w:r/>
          </w:p>
          <w:p>
            <w:pPr>
              <w:pStyle w:val="723"/>
              <w:rPr>
                <w:rFonts w:ascii="宋体" w:hAnsi="宋体" w:eastAsia="宋体"/>
                <w:sz w:val="24"/>
                <w:szCs w:val="24"/>
              </w:rPr>
            </w:pPr>
            <w:r>
              <w:rPr>
                <w:rFonts w:hint="eastAsia" w:ascii="宋体" w:hAnsi="宋体" w:eastAsia="宋体"/>
                <w:sz w:val="24"/>
                <w:szCs w:val="24"/>
              </w:rPr>
              <w:t xml:space="preserve">收费标准：</w:t>
            </w:r>
            <w:r>
              <w:rPr>
                <w:rFonts w:ascii="宋体" w:hAnsi="宋体" w:eastAsia="宋体"/>
                <w:sz w:val="24"/>
                <w:szCs w:val="24"/>
              </w:rPr>
            </w:r>
            <w:r/>
          </w:p>
          <w:p>
            <w:pPr>
              <w:pStyle w:val="723"/>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100万元以下部分，费率为该部分预算金额的1.5%；</w:t>
            </w:r>
            <w:r/>
          </w:p>
          <w:p>
            <w:pPr>
              <w:pStyle w:val="723"/>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100万元（含）－500万元部分，费率为该部分预算金额的1.1%；</w:t>
            </w:r>
            <w:r/>
          </w:p>
          <w:p>
            <w:pPr>
              <w:pStyle w:val="723"/>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500万元（含）-1000万元部分，费率为该部分预算金额的0.8%；</w:t>
            </w:r>
            <w:r/>
          </w:p>
          <w:p>
            <w:pPr>
              <w:pStyle w:val="723"/>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1000万元（含）-5000万元部分，费率为该部分预算金额的0.5%；</w:t>
            </w:r>
            <w:r/>
          </w:p>
          <w:p>
            <w:pPr>
              <w:pStyle w:val="723"/>
              <w:widowControl/>
              <w:rPr>
                <w:rFonts w:ascii="宋体" w:hAnsi="宋体" w:eastAsia="宋体"/>
                <w:sz w:val="24"/>
                <w:szCs w:val="24"/>
              </w:rPr>
            </w:pPr>
            <w:r>
              <w:rPr>
                <w:rFonts w:hint="eastAsia" w:ascii="宋体" w:hAnsi="宋体" w:eastAsia="宋体"/>
                <w:sz w:val="24"/>
                <w:szCs w:val="24"/>
              </w:rPr>
              <w:t xml:space="preserve">说明：代理服务费以采购预算金额为基数依据，按以上规定的标准和差额定率累进法进行计算后收取。例：如合同金额为</w:t>
            </w:r>
            <w:r>
              <w:rPr>
                <w:rFonts w:ascii="宋体" w:hAnsi="宋体" w:eastAsia="宋体"/>
                <w:sz w:val="24"/>
                <w:szCs w:val="24"/>
              </w:rPr>
              <w:t xml:space="preserve">150万元，则代理服务费＝100万元以下部分×1.5%＋（150万元－100万元以下部分）×1.1%。</w:t>
            </w:r>
            <w:r/>
          </w:p>
          <w:p>
            <w:pPr>
              <w:pStyle w:val="723"/>
              <w:jc w:val="left"/>
              <w:widowControl/>
              <w:rPr>
                <w:rFonts w:ascii="宋体" w:hAnsi="宋体" w:eastAsia="宋体"/>
                <w:sz w:val="24"/>
                <w:szCs w:val="24"/>
              </w:rPr>
            </w:pPr>
            <w:r>
              <w:rPr>
                <w:rFonts w:hint="eastAsia" w:ascii="宋体" w:hAnsi="宋体" w:eastAsia="宋体"/>
                <w:sz w:val="24"/>
                <w:szCs w:val="24"/>
              </w:rPr>
              <w:t xml:space="preserve">本项目代理服务费第一标段：44190元，第二标段：38150元。</w:t>
            </w:r>
            <w:r>
              <w:rPr>
                <w:rFonts w:ascii="宋体" w:hAnsi="宋体" w:eastAsia="宋体"/>
                <w:sz w:val="24"/>
                <w:szCs w:val="24"/>
              </w:rPr>
            </w:r>
            <w:r/>
          </w:p>
          <w:p>
            <w:pPr>
              <w:pStyle w:val="723"/>
              <w:jc w:val="left"/>
              <w:rPr>
                <w:rFonts w:ascii="宋体" w:hAnsi="宋体" w:eastAsia="宋体"/>
                <w:sz w:val="24"/>
                <w:szCs w:val="24"/>
              </w:rPr>
            </w:pPr>
            <w:r>
              <w:rPr>
                <w:rFonts w:hint="eastAsia" w:ascii="宋体" w:hAnsi="宋体" w:eastAsia="宋体"/>
                <w:sz w:val="24"/>
                <w:szCs w:val="24"/>
              </w:rPr>
              <w:t xml:space="preserve">收款单位：苏州鸿鑫工程咨询有限公司</w:t>
              <w:br w:type="textWrapping" w:clear="all"/>
              <w:t xml:space="preserve">开户银行：苏州银行相城支行</w:t>
              <w:br w:type="textWrapping" w:clear="all"/>
              <w:t xml:space="preserve">银行账号：7066601071120143007269</w:t>
            </w:r>
            <w:r>
              <w:rPr>
                <w:rFonts w:ascii="宋体" w:hAnsi="宋体" w:eastAsia="宋体"/>
                <w:sz w:val="24"/>
                <w:szCs w:val="24"/>
              </w:rPr>
            </w:r>
            <w:r/>
          </w:p>
          <w:p>
            <w:pPr>
              <w:pStyle w:val="723"/>
              <w:rPr>
                <w:rFonts w:ascii="宋体" w:hAnsi="宋体" w:eastAsia="宋体"/>
                <w:color w:val="000000"/>
                <w:sz w:val="24"/>
                <w:szCs w:val="24"/>
              </w:rPr>
            </w:pPr>
            <w:r>
              <w:rPr>
                <w:rFonts w:hint="eastAsia" w:ascii="宋体" w:hAnsi="宋体" w:eastAsia="宋体"/>
                <w:sz w:val="24"/>
                <w:szCs w:val="24"/>
              </w:rPr>
              <w:t xml:space="preserve">供应商缴纳代理服务费时，如需增值税专用发票的，则须提供有关信息资料，具体要求详见第二章投标单位须知。</w:t>
            </w:r>
            <w:r>
              <w:rPr>
                <w:rFonts w:ascii="宋体" w:hAnsi="宋体" w:eastAsia="宋体"/>
                <w:color w:val="000000"/>
                <w:sz w:val="24"/>
                <w:szCs w:val="24"/>
              </w:rPr>
            </w:r>
            <w:r/>
          </w:p>
        </w:tc>
      </w:tr>
      <w:tr>
        <w:trPr>
          <w:trHeight w:val="413"/>
        </w:trPr>
        <w:tc>
          <w:tcPr>
            <w:tcW w:w="710" w:type="dxa"/>
            <w:vAlign w:val="center"/>
            <w:textDirection w:val="lrTb"/>
            <w:noWrap w:val="false"/>
          </w:tcPr>
          <w:p>
            <w:pPr>
              <w:pStyle w:val="723"/>
              <w:jc w:val="center"/>
              <w:rPr>
                <w:rFonts w:ascii="宋体" w:hAnsi="宋体" w:eastAsia="宋体"/>
                <w:color w:val="000000"/>
                <w:sz w:val="24"/>
                <w:szCs w:val="24"/>
              </w:rPr>
            </w:pPr>
            <w:r>
              <w:rPr>
                <w:rFonts w:ascii="宋体" w:hAnsi="宋体" w:eastAsia="宋体"/>
                <w:color w:val="000000"/>
                <w:sz w:val="24"/>
                <w:szCs w:val="24"/>
              </w:rPr>
              <w:t xml:space="preserve">7</w:t>
            </w:r>
            <w:r/>
          </w:p>
        </w:tc>
        <w:tc>
          <w:tcPr>
            <w:tcW w:w="8921" w:type="dxa"/>
            <w:vAlign w:val="center"/>
            <w:textDirection w:val="lrTb"/>
            <w:noWrap w:val="false"/>
          </w:tcPr>
          <w:p>
            <w:pPr>
              <w:pStyle w:val="723"/>
              <w:rPr>
                <w:rFonts w:ascii="宋体" w:hAnsi="宋体" w:eastAsia="宋体"/>
                <w:color w:val="000000"/>
                <w:sz w:val="24"/>
                <w:szCs w:val="24"/>
              </w:rPr>
            </w:pPr>
            <w:r>
              <w:rPr>
                <w:rFonts w:hint="eastAsia" w:ascii="宋体" w:hAnsi="宋体" w:eastAsia="宋体"/>
                <w:color w:val="000000"/>
                <w:sz w:val="24"/>
                <w:szCs w:val="24"/>
              </w:rPr>
              <w:t xml:space="preserve">苏州市政府采购管理监督电话：0512-68616651</w:t>
            </w:r>
            <w:r>
              <w:rPr>
                <w:rFonts w:ascii="宋体" w:hAnsi="宋体" w:eastAsia="宋体"/>
                <w:color w:val="000000"/>
                <w:sz w:val="24"/>
                <w:szCs w:val="24"/>
              </w:rPr>
            </w:r>
            <w:r/>
          </w:p>
        </w:tc>
      </w:tr>
    </w:tbl>
    <w:p>
      <w:pPr>
        <w:pStyle w:val="723"/>
        <w:jc w:val="left"/>
        <w:widowControl/>
        <w:rPr>
          <w:rFonts w:ascii="宋体" w:hAnsi="宋体" w:eastAsia="宋体"/>
          <w:color w:val="000000"/>
          <w:sz w:val="52"/>
          <w:szCs w:val="52"/>
        </w:rPr>
      </w:pPr>
      <w:r>
        <w:rPr>
          <w:rFonts w:ascii="宋体" w:hAnsi="宋体" w:eastAsia="宋体"/>
          <w:color w:val="000000"/>
          <w:sz w:val="52"/>
          <w:szCs w:val="52"/>
        </w:rPr>
        <w:br w:type="page" w:clear="all"/>
      </w:r>
      <w:r>
        <w:rPr>
          <w:rFonts w:ascii="宋体" w:hAnsi="宋体" w:eastAsia="宋体"/>
          <w:color w:val="000000"/>
          <w:sz w:val="52"/>
          <w:szCs w:val="52"/>
        </w:rPr>
      </w:r>
      <w:r/>
    </w:p>
    <w:p>
      <w:pPr>
        <w:pStyle w:val="723"/>
        <w:jc w:val="center"/>
        <w:tabs>
          <w:tab w:val="left" w:pos="315" w:leader="none"/>
          <w:tab w:val="center" w:pos="4153" w:leader="none"/>
        </w:tabs>
        <w:rPr>
          <w:rFonts w:ascii="宋体" w:hAnsi="宋体" w:eastAsia="宋体"/>
          <w:b/>
          <w:sz w:val="52"/>
          <w:szCs w:val="52"/>
        </w:rPr>
      </w:pPr>
      <w:r>
        <w:rPr>
          <w:rFonts w:hint="eastAsia" w:ascii="宋体" w:hAnsi="宋体" w:eastAsia="宋体"/>
          <w:b/>
          <w:sz w:val="52"/>
          <w:szCs w:val="52"/>
        </w:rPr>
        <w:t xml:space="preserve">目    录</w:t>
      </w:r>
      <w:r>
        <w:rPr>
          <w:rFonts w:ascii="宋体" w:hAnsi="宋体" w:eastAsia="宋体"/>
          <w:b/>
          <w:sz w:val="52"/>
          <w:szCs w:val="52"/>
        </w:rPr>
      </w:r>
      <w:r/>
    </w:p>
    <w:p>
      <w:pPr>
        <w:pStyle w:val="723"/>
        <w:jc w:val="center"/>
        <w:tabs>
          <w:tab w:val="left" w:pos="315" w:leader="none"/>
          <w:tab w:val="center" w:pos="4153" w:leader="none"/>
        </w:tabs>
        <w:rPr>
          <w:rFonts w:ascii="宋体" w:hAnsi="宋体" w:eastAsia="宋体"/>
          <w:b/>
          <w:sz w:val="52"/>
          <w:szCs w:val="52"/>
        </w:rPr>
      </w:pPr>
      <w:r>
        <w:rPr>
          <w:rFonts w:ascii="宋体" w:hAnsi="宋体" w:eastAsia="宋体"/>
          <w:b/>
          <w:sz w:val="52"/>
          <w:szCs w:val="52"/>
        </w:rPr>
      </w:r>
      <w:r/>
    </w:p>
    <w:p>
      <w:pPr>
        <w:pStyle w:val="723"/>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第一章  招标公告</w:t>
      </w:r>
      <w:r>
        <w:rPr>
          <w:rFonts w:ascii="宋体" w:hAnsi="宋体" w:eastAsia="宋体"/>
          <w:sz w:val="36"/>
          <w:szCs w:val="22"/>
        </w:rPr>
      </w:r>
      <w:r/>
    </w:p>
    <w:p>
      <w:pPr>
        <w:pStyle w:val="723"/>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第二章  投标单位须知</w:t>
      </w:r>
      <w:r>
        <w:rPr>
          <w:rFonts w:ascii="宋体" w:hAnsi="宋体" w:eastAsia="宋体"/>
          <w:sz w:val="36"/>
          <w:szCs w:val="22"/>
        </w:rPr>
      </w:r>
      <w:r/>
    </w:p>
    <w:p>
      <w:pPr>
        <w:pStyle w:val="723"/>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第三章  投标文件格式</w:t>
      </w:r>
      <w:r>
        <w:rPr>
          <w:rFonts w:ascii="宋体" w:hAnsi="宋体" w:eastAsia="宋体"/>
          <w:sz w:val="36"/>
          <w:szCs w:val="22"/>
        </w:rPr>
      </w:r>
      <w:r/>
    </w:p>
    <w:p>
      <w:pPr>
        <w:pStyle w:val="723"/>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第四章  招标书</w:t>
      </w:r>
      <w:r>
        <w:rPr>
          <w:rFonts w:ascii="宋体" w:hAnsi="宋体" w:eastAsia="宋体"/>
          <w:sz w:val="36"/>
          <w:szCs w:val="22"/>
        </w:rPr>
      </w:r>
      <w:r/>
    </w:p>
    <w:p>
      <w:pPr>
        <w:pStyle w:val="723"/>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第五章  合同主要条款</w:t>
      </w:r>
      <w:r>
        <w:rPr>
          <w:rFonts w:ascii="宋体" w:hAnsi="宋体" w:eastAsia="宋体"/>
          <w:sz w:val="36"/>
          <w:szCs w:val="22"/>
        </w:rPr>
      </w:r>
      <w:r/>
    </w:p>
    <w:p>
      <w:pPr>
        <w:pStyle w:val="723"/>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第六章  评分标准</w:t>
      </w:r>
      <w:r>
        <w:rPr>
          <w:rFonts w:ascii="宋体" w:hAnsi="宋体" w:eastAsia="宋体"/>
          <w:sz w:val="36"/>
          <w:szCs w:val="22"/>
        </w:rPr>
      </w:r>
      <w:r/>
    </w:p>
    <w:p>
      <w:pPr>
        <w:pStyle w:val="748"/>
        <w:ind w:firstLine="0"/>
        <w:jc w:val="both"/>
        <w:tabs>
          <w:tab w:val="right" w:pos="9032" w:leader="none"/>
        </w:tabs>
        <w:rPr>
          <w:rFonts w:ascii="宋体" w:hAnsi="宋体" w:eastAsia="宋体"/>
          <w:b/>
          <w:color w:val="000000"/>
          <w:sz w:val="32"/>
        </w:rPr>
      </w:pPr>
      <w:r>
        <w:rPr>
          <w:rFonts w:ascii="宋体" w:hAnsi="宋体" w:eastAsia="宋体"/>
          <w:b/>
          <w:color w:val="000000"/>
          <w:sz w:val="32"/>
        </w:r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tabs>
          <w:tab w:val="left" w:pos="2070" w:leader="none"/>
        </w:tabs>
      </w:pPr>
      <w:r>
        <w:tab/>
      </w:r>
      <w:r/>
    </w:p>
    <w:p>
      <w:pPr>
        <w:pStyle w:val="748"/>
        <w:ind w:firstLine="0"/>
        <w:jc w:val="both"/>
        <w:tabs>
          <w:tab w:val="right" w:pos="9032" w:leader="none"/>
        </w:tabs>
        <w:rPr>
          <w:rFonts w:ascii="宋体" w:hAnsi="宋体" w:eastAsia="宋体"/>
          <w:b/>
          <w:color w:val="000000"/>
          <w:sz w:val="32"/>
          <w:szCs w:val="32"/>
        </w:rPr>
      </w:pPr>
      <w:r>
        <w:rPr>
          <w:rFonts w:ascii="宋体" w:hAnsi="宋体" w:eastAsia="宋体"/>
          <w:b/>
          <w:color w:val="000000"/>
          <w:sz w:val="32"/>
        </w:rPr>
        <w:tab/>
      </w:r>
      <w:r>
        <w:rPr>
          <w:rFonts w:ascii="宋体" w:hAnsi="宋体" w:eastAsia="宋体"/>
          <w:b/>
          <w:color w:val="000000"/>
          <w:sz w:val="32"/>
          <w:szCs w:val="32"/>
        </w:rPr>
      </w:r>
      <w:r/>
    </w:p>
    <w:p>
      <w:pPr>
        <w:pStyle w:val="723"/>
        <w:rPr>
          <w:rFonts w:ascii="宋体" w:hAnsi="宋体" w:eastAsia="宋体"/>
          <w:b/>
          <w:color w:val="000000"/>
          <w:sz w:val="32"/>
          <w:szCs w:val="32"/>
        </w:rPr>
      </w:pPr>
      <w:r>
        <w:rPr>
          <w:rFonts w:ascii="宋体" w:hAnsi="宋体" w:eastAsia="宋体"/>
          <w:b/>
          <w:color w:val="000000"/>
          <w:sz w:val="32"/>
          <w:szCs w:val="32"/>
        </w:rPr>
      </w:r>
      <w:r/>
    </w:p>
    <w:p>
      <w:pPr>
        <w:pStyle w:val="723"/>
        <w:rPr>
          <w:rFonts w:ascii="宋体" w:hAnsi="宋体" w:eastAsia="宋体"/>
          <w:color w:val="000000"/>
          <w:sz w:val="32"/>
          <w:szCs w:val="32"/>
        </w:rPr>
      </w:pPr>
      <w:r>
        <w:rPr>
          <w:rFonts w:ascii="宋体" w:hAnsi="宋体" w:eastAsia="宋体"/>
          <w:color w:val="000000"/>
          <w:sz w:val="32"/>
          <w:szCs w:val="32"/>
        </w:rPr>
      </w:r>
      <w:r/>
    </w:p>
    <w:p>
      <w:pPr>
        <w:pStyle w:val="724"/>
        <w:jc w:val="center"/>
        <w:rPr>
          <w:rFonts w:ascii="宋体" w:hAnsi="宋体" w:eastAsia="宋体"/>
          <w:color w:val="000000"/>
          <w:sz w:val="52"/>
        </w:rPr>
      </w:pPr>
      <w:r/>
      <w:bookmarkStart w:id="0" w:name="_Toc50373295"/>
      <w:r>
        <w:rPr>
          <w:rFonts w:ascii="宋体" w:hAnsi="宋体" w:eastAsia="宋体"/>
          <w:color w:val="000000"/>
          <w:sz w:val="52"/>
        </w:rPr>
      </w:r>
      <w:r/>
    </w:p>
    <w:p>
      <w:pPr>
        <w:pStyle w:val="724"/>
        <w:jc w:val="center"/>
        <w:rPr>
          <w:rFonts w:ascii="宋体" w:hAnsi="宋体" w:eastAsia="宋体"/>
          <w:color w:val="000000"/>
          <w:sz w:val="52"/>
        </w:rPr>
      </w:pPr>
      <w:r>
        <w:rPr>
          <w:rFonts w:ascii="宋体" w:hAnsi="宋体" w:eastAsia="宋体"/>
          <w:color w:val="000000"/>
          <w:sz w:val="52"/>
        </w:rPr>
      </w:r>
      <w:r/>
    </w:p>
    <w:p>
      <w:pPr>
        <w:pStyle w:val="724"/>
        <w:jc w:val="center"/>
        <w:rPr>
          <w:rFonts w:ascii="宋体" w:hAnsi="宋体" w:eastAsia="宋体"/>
          <w:color w:val="000000"/>
          <w:sz w:val="52"/>
        </w:rPr>
      </w:pPr>
      <w:r>
        <w:rPr>
          <w:rFonts w:hint="eastAsia" w:ascii="宋体" w:hAnsi="宋体" w:eastAsia="宋体"/>
          <w:color w:val="000000"/>
          <w:sz w:val="52"/>
        </w:rPr>
        <w:t xml:space="preserve">第一章</w:t>
      </w:r>
      <w:bookmarkEnd w:id="0"/>
      <w:r>
        <w:rPr>
          <w:rFonts w:hint="eastAsia" w:ascii="宋体" w:hAnsi="宋体" w:eastAsia="宋体"/>
          <w:color w:val="000000"/>
          <w:sz w:val="52"/>
        </w:rPr>
        <w:t xml:space="preserve">招标公告</w:t>
      </w:r>
      <w:r>
        <w:rPr>
          <w:rFonts w:ascii="宋体" w:hAnsi="宋体" w:eastAsia="宋体"/>
          <w:color w:val="000000"/>
          <w:sz w:val="52"/>
        </w:rPr>
      </w:r>
      <w:r/>
    </w:p>
    <w:p>
      <w:pPr>
        <w:pStyle w:val="723"/>
        <w:spacing w:line="360" w:lineRule="auto"/>
        <w:rPr>
          <w:rFonts w:ascii="宋体" w:hAnsi="宋体" w:eastAsia="宋体"/>
          <w:color w:val="000000"/>
          <w:sz w:val="24"/>
          <w:szCs w:val="24"/>
          <w:u w:val="single"/>
        </w:rPr>
      </w:pPr>
      <w:r>
        <w:rPr>
          <w:rFonts w:ascii="宋体" w:hAnsi="宋体" w:eastAsia="宋体"/>
          <w:color w:val="000000"/>
        </w:rPr>
        <w:br w:type="page" w:clear="all"/>
      </w:r>
      <w:r>
        <w:rPr>
          <w:rFonts w:ascii="宋体" w:hAnsi="宋体" w:eastAsia="宋体"/>
          <w:color w:val="000000"/>
          <w:sz w:val="24"/>
          <w:szCs w:val="24"/>
          <w:u w:val="single"/>
        </w:rPr>
      </w:r>
      <w:r/>
    </w:p>
    <w:p>
      <w:pPr>
        <w:pStyle w:val="723"/>
        <w:jc w:val="left"/>
        <w:spacing w:line="360" w:lineRule="auto"/>
        <w:shd w:val="clear" w:color="auto" w:fill="ffffff"/>
        <w:widowControl/>
        <w:rPr>
          <w:rFonts w:ascii="宋体" w:hAnsi="宋体" w:eastAsia="宋体" w:cs="宋体"/>
          <w:sz w:val="24"/>
          <w:szCs w:val="24"/>
        </w:rPr>
        <w:pBdr>
          <w:top w:val="single" w:color="000000" w:sz="8" w:space="1"/>
          <w:left w:val="single" w:color="000000" w:sz="8" w:space="4"/>
          <w:bottom w:val="single" w:color="000000" w:sz="8" w:space="1"/>
          <w:right w:val="single" w:color="000000" w:sz="8" w:space="4"/>
        </w:pBdr>
      </w:pPr>
      <w:r>
        <w:rPr>
          <w:rFonts w:hint="eastAsia" w:ascii="宋体" w:hAnsi="宋体" w:eastAsia="宋体" w:cs="宋体"/>
          <w:sz w:val="24"/>
          <w:szCs w:val="24"/>
          <w:shd w:val="clear" w:color="auto" w:fill="ffffff"/>
        </w:rPr>
        <w:t xml:space="preserve">项目概况</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Bdr>
          <w:top w:val="single" w:color="000000" w:sz="8" w:space="1"/>
          <w:left w:val="single" w:color="000000" w:sz="8" w:space="4"/>
          <w:bottom w:val="single" w:color="000000" w:sz="8" w:space="1"/>
          <w:right w:val="single" w:color="000000" w:sz="8" w:space="4"/>
        </w:pBdr>
      </w:pPr>
      <w:r>
        <w:rPr>
          <w:rFonts w:hint="eastAsia" w:ascii="宋体" w:hAnsi="宋体" w:eastAsia="宋体" w:cs="宋体"/>
          <w:sz w:val="24"/>
          <w:szCs w:val="24"/>
          <w:u w:val="single"/>
          <w:shd w:val="clear" w:color="auto" w:fill="ffffff"/>
        </w:rPr>
        <w:t xml:space="preserve">苏州市公安局轨道公交分局食堂食材配送服务</w:t>
      </w:r>
      <w:r>
        <w:rPr>
          <w:rFonts w:hint="eastAsia" w:ascii="宋体" w:hAnsi="宋体" w:eastAsia="宋体" w:cs="宋体"/>
          <w:sz w:val="24"/>
          <w:szCs w:val="24"/>
          <w:shd w:val="clear" w:color="auto" w:fill="ffffff"/>
        </w:rPr>
        <w:t xml:space="preserve">招标项目的潜在投标单位应在</w:t>
      </w:r>
      <w:r>
        <w:rPr>
          <w:rFonts w:hint="cs" w:ascii="宋体" w:hAnsi="宋体" w:eastAsia="宋体" w:cs="宋体"/>
          <w:sz w:val="24"/>
          <w:szCs w:val="24"/>
          <w:u w:val="single"/>
          <w:shd w:val="clear" w:color="auto" w:fill="ffffff"/>
          <w:cs/>
        </w:rPr>
        <w:t xml:space="preserve">“</w:t>
      </w:r>
      <w:r>
        <w:rPr>
          <w:rFonts w:hint="eastAsia" w:ascii="宋体" w:hAnsi="宋体" w:eastAsia="宋体" w:cs="宋体"/>
          <w:sz w:val="24"/>
          <w:szCs w:val="24"/>
          <w:u w:val="single"/>
          <w:shd w:val="clear" w:color="auto" w:fill="ffffff"/>
        </w:rPr>
        <w:t xml:space="preserve">苏采云</w:t>
      </w:r>
      <w:r>
        <w:rPr>
          <w:rFonts w:hint="cs" w:ascii="宋体" w:hAnsi="宋体" w:eastAsia="宋体" w:cs="宋体"/>
          <w:sz w:val="24"/>
          <w:szCs w:val="24"/>
          <w:u w:val="single"/>
          <w:shd w:val="clear" w:color="auto" w:fill="ffffff"/>
          <w:cs/>
        </w:rPr>
        <w:t xml:space="preserve">”</w:t>
      </w:r>
      <w:r>
        <w:rPr>
          <w:rFonts w:hint="eastAsia" w:ascii="宋体" w:hAnsi="宋体" w:eastAsia="宋体" w:cs="宋体"/>
          <w:sz w:val="24"/>
          <w:szCs w:val="24"/>
          <w:u w:val="single"/>
          <w:shd w:val="clear" w:color="auto" w:fill="ffffff"/>
        </w:rPr>
        <w:t xml:space="preserve">系统（网址：</w:t>
      </w:r>
      <w:r>
        <w:rPr>
          <w:rFonts w:ascii="宋体" w:hAnsi="宋体" w:eastAsia="宋体" w:cs="宋体"/>
          <w:sz w:val="24"/>
          <w:szCs w:val="24"/>
          <w:u w:val="single"/>
          <w:shd w:val="clear" w:color="auto" w:fill="ffffff"/>
        </w:rPr>
        <w:t xml:space="preserve">http://jszfcg.jsczt.cn/</w:t>
      </w:r>
      <w:r>
        <w:rPr>
          <w:rFonts w:hint="eastAsia" w:ascii="宋体" w:hAnsi="宋体" w:eastAsia="宋体" w:cs="宋体"/>
          <w:sz w:val="24"/>
          <w:szCs w:val="24"/>
          <w:u w:val="single"/>
          <w:shd w:val="clear" w:color="auto" w:fill="ffffff"/>
        </w:rPr>
        <w:t xml:space="preserve">）获取招标文件，并于</w:t>
      </w:r>
      <w:r>
        <w:rPr>
          <w:rFonts w:ascii="宋体" w:hAnsi="宋体" w:eastAsia="宋体" w:cs="宋体"/>
          <w:sz w:val="24"/>
          <w:szCs w:val="24"/>
          <w:u w:val="single"/>
          <w:shd w:val="clear" w:color="auto" w:fill="ffffff"/>
        </w:rPr>
        <w:t xml:space="preserve">2025</w:t>
      </w:r>
      <w:r>
        <w:rPr>
          <w:rFonts w:hint="eastAsia" w:ascii="宋体" w:hAnsi="宋体" w:eastAsia="宋体" w:cs="宋体"/>
          <w:sz w:val="24"/>
          <w:szCs w:val="24"/>
          <w:u w:val="single"/>
          <w:shd w:val="clear" w:color="auto" w:fill="ffffff"/>
        </w:rPr>
        <w:t xml:space="preserve">年11月18日9点30分（北京时间）前递交投标文件</w:t>
      </w:r>
      <w:r>
        <w:rPr>
          <w:rFonts w:hint="eastAsia" w:ascii="宋体" w:hAnsi="宋体" w:eastAsia="宋体" w:cs="宋体"/>
          <w:sz w:val="24"/>
          <w:szCs w:val="24"/>
          <w:shd w:val="clear" w:color="auto" w:fill="ffffff"/>
        </w:rPr>
        <w:t xml:space="preserve">。</w:t>
      </w:r>
      <w:r>
        <w:rPr>
          <w:rFonts w:ascii="宋体" w:hAnsi="宋体" w:eastAsia="宋体" w:cs="宋体"/>
          <w:sz w:val="24"/>
          <w:szCs w:val="24"/>
        </w:rPr>
      </w:r>
      <w:r/>
    </w:p>
    <w:p>
      <w:pPr>
        <w:pStyle w:val="723"/>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一、项目基本情况</w:t>
      </w:r>
      <w:r>
        <w:rPr>
          <w:rFonts w:ascii="宋体" w:hAnsi="宋体" w:eastAsia="宋体" w:cs="宋体"/>
          <w:sz w:val="24"/>
          <w:szCs w:val="24"/>
        </w:rPr>
      </w:r>
      <w:r/>
    </w:p>
    <w:p>
      <w:pPr>
        <w:pStyle w:val="723"/>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1、项目编号：</w:t>
      </w:r>
      <w:r>
        <w:rPr>
          <w:rFonts w:hint="eastAsia" w:ascii="宋体" w:hAnsi="宋体" w:eastAsia="宋体" w:cs="宋体"/>
          <w:sz w:val="24"/>
          <w:szCs w:val="24"/>
          <w:shd w:val="clear" w:color="auto" w:fill="ffffff"/>
        </w:rPr>
        <w:t xml:space="preserve">JSZC-320500-SZHX-G2025-0045</w:t>
      </w:r>
      <w:r>
        <w:rPr>
          <w:rFonts w:hint="eastAsia" w:ascii="宋体" w:hAnsi="宋体" w:eastAsia="宋体" w:cs="宋体"/>
          <w:sz w:val="24"/>
          <w:szCs w:val="24"/>
        </w:rPr>
      </w:r>
      <w:r/>
    </w:p>
    <w:p>
      <w:pPr>
        <w:pStyle w:val="723"/>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2、项目名称：苏州市公安局轨道公交分局食堂食材配送服务</w:t>
      </w:r>
      <w:r/>
    </w:p>
    <w:p>
      <w:pPr>
        <w:pStyle w:val="723"/>
        <w:ind w:firstLine="482"/>
        <w:spacing w:line="360" w:lineRule="auto"/>
        <w:tabs>
          <w:tab w:val="left" w:pos="360" w:leader="none"/>
          <w:tab w:val="left" w:pos="420" w:leader="none"/>
          <w:tab w:val="left" w:pos="540" w:leader="none"/>
          <w:tab w:val="left" w:pos="720" w:leader="none"/>
          <w:tab w:val="left" w:pos="993"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3、预算金额：人民币陆佰柒拾伍万捌仟贰佰陆拾柒元伍角贰分（</w:t>
      </w:r>
      <w:r>
        <w:rPr>
          <w:rFonts w:hint="cs" w:ascii="宋体" w:hAnsi="宋体" w:eastAsia="宋体" w:cs="宋体"/>
          <w:sz w:val="24"/>
          <w:szCs w:val="24"/>
          <w:shd w:val="clear" w:color="auto" w:fill="ffffff"/>
          <w:cs/>
        </w:rPr>
        <w:t xml:space="preserve">¥</w:t>
      </w:r>
      <w:r>
        <w:rPr>
          <w:rFonts w:hint="eastAsia" w:ascii="宋体" w:hAnsi="宋体" w:eastAsia="宋体" w:cs="宋体"/>
          <w:sz w:val="24"/>
          <w:szCs w:val="24"/>
          <w:shd w:val="clear" w:color="auto" w:fill="ffffff"/>
        </w:rPr>
        <w:t xml:space="preserve">：6758267.52</w:t>
      </w:r>
      <w:r>
        <w:rPr>
          <w:rFonts w:hint="eastAsia" w:ascii="宋体" w:hAnsi="宋体" w:eastAsia="宋体" w:cs="宋体"/>
          <w:sz w:val="24"/>
          <w:szCs w:val="24"/>
          <w:shd w:val="clear" w:color="auto" w:fill="ffffff"/>
        </w:rPr>
        <w:t xml:space="preserve">元</w:t>
      </w:r>
      <w:r>
        <w:rPr>
          <w:rFonts w:hint="eastAsia" w:ascii="宋体" w:hAnsi="宋体" w:eastAsia="宋体" w:cs="宋体"/>
          <w:sz w:val="24"/>
          <w:szCs w:val="24"/>
          <w:shd w:val="clear" w:color="auto" w:fill="ffffff"/>
        </w:rPr>
        <w:t xml:space="preserve">），（其中第一标段365.364864万元、第二标段310.461888万元）</w:t>
      </w:r>
      <w:r>
        <w:rPr>
          <w:rFonts w:ascii="宋体" w:hAnsi="宋体" w:eastAsia="宋体" w:cs="宋体"/>
          <w:sz w:val="24"/>
          <w:szCs w:val="24"/>
          <w:shd w:val="clear" w:color="auto" w:fill="ffffff"/>
        </w:rPr>
      </w:r>
      <w:r/>
    </w:p>
    <w:p>
      <w:pPr>
        <w:pStyle w:val="723"/>
        <w:ind w:firstLine="482"/>
        <w:spacing w:line="360" w:lineRule="auto"/>
        <w:tabs>
          <w:tab w:val="left" w:pos="360" w:leader="none"/>
          <w:tab w:val="left" w:pos="420" w:leader="none"/>
          <w:tab w:val="left" w:pos="540" w:leader="none"/>
          <w:tab w:val="left" w:pos="720" w:leader="none"/>
          <w:tab w:val="left" w:pos="993"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4、最高限价：人民币陆佰柒拾伍万捌仟贰佰陆拾柒元伍角贰分（</w:t>
      </w:r>
      <w:r>
        <w:rPr>
          <w:rFonts w:hint="cs" w:ascii="宋体" w:hAnsi="宋体" w:eastAsia="宋体" w:cs="宋体"/>
          <w:sz w:val="24"/>
          <w:szCs w:val="24"/>
          <w:shd w:val="clear" w:color="auto" w:fill="ffffff"/>
          <w:cs/>
        </w:rPr>
        <w:t xml:space="preserve">¥</w:t>
      </w:r>
      <w:r>
        <w:rPr>
          <w:rFonts w:hint="eastAsia" w:ascii="宋体" w:hAnsi="宋体" w:eastAsia="宋体" w:cs="宋体"/>
          <w:sz w:val="24"/>
          <w:szCs w:val="24"/>
          <w:shd w:val="clear" w:color="auto" w:fill="ffffff"/>
        </w:rPr>
        <w:t xml:space="preserve">：6758267.52</w:t>
      </w:r>
      <w:r>
        <w:rPr>
          <w:rFonts w:hint="eastAsia" w:ascii="宋体" w:hAnsi="宋体" w:eastAsia="宋体" w:cs="宋体"/>
          <w:sz w:val="24"/>
          <w:szCs w:val="24"/>
          <w:shd w:val="clear" w:color="auto" w:fill="ffffff"/>
        </w:rPr>
        <w:t xml:space="preserve">元</w:t>
      </w:r>
      <w:r>
        <w:rPr>
          <w:rFonts w:hint="eastAsia" w:ascii="宋体" w:hAnsi="宋体" w:eastAsia="宋体" w:cs="宋体"/>
          <w:sz w:val="24"/>
          <w:szCs w:val="24"/>
          <w:shd w:val="clear" w:color="auto" w:fill="ffffff"/>
        </w:rPr>
        <w:t xml:space="preserve">），（其中第一标段365.364864万元、第二标段310.461888万元）</w:t>
      </w:r>
      <w:r/>
    </w:p>
    <w:p>
      <w:pPr>
        <w:pStyle w:val="723"/>
        <w:ind w:firstLine="482"/>
        <w:spacing w:line="360" w:lineRule="auto"/>
        <w:tabs>
          <w:tab w:val="left" w:pos="360" w:leader="none"/>
          <w:tab w:val="left" w:pos="420" w:leader="none"/>
          <w:tab w:val="left" w:pos="540" w:leader="none"/>
          <w:tab w:val="left" w:pos="720" w:leader="none"/>
          <w:tab w:val="left" w:pos="993" w:leader="none"/>
        </w:tabs>
        <w:rPr>
          <w:rFonts w:hint="eastAsia" w:ascii="宋体" w:hAnsi="宋体" w:eastAsia="宋体" w:cs="宋体"/>
          <w:sz w:val="24"/>
          <w:szCs w:val="24"/>
          <w:shd w:val="clear" w:color="auto" w:fill="ffffff"/>
        </w:rPr>
      </w:pPr>
      <w:r>
        <w:rPr>
          <w:rFonts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、合同履行期限：自服务开始之日起一年</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具体开始时间以采购方通知为准。每个标段的结算金额达到预算金额总价或合同履行期限到期，本标段自动终止。</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r>
      <w:r/>
    </w:p>
    <w:p>
      <w:pPr>
        <w:pStyle w:val="723"/>
        <w:ind w:firstLine="482"/>
        <w:spacing w:line="360" w:lineRule="auto"/>
        <w:tabs>
          <w:tab w:val="left" w:pos="360" w:leader="none"/>
          <w:tab w:val="left" w:pos="420" w:leader="none"/>
          <w:tab w:val="left" w:pos="540" w:leader="none"/>
          <w:tab w:val="left" w:pos="720" w:leader="none"/>
          <w:tab w:val="left" w:pos="993" w:leader="none"/>
        </w:tabs>
        <w:rPr>
          <w:rFonts w:hint="eastAsia" w:hAnsi="宋体"/>
          <w:color w:val="000000"/>
          <w:sz w:val="24"/>
        </w:rPr>
      </w:pPr>
      <w:r>
        <w:rPr>
          <w:rFonts w:ascii="宋体" w:hAnsi="宋体" w:eastAsia="宋体" w:cs="宋体"/>
          <w:sz w:val="24"/>
          <w:szCs w:val="24"/>
          <w:shd w:val="clear" w:color="auto" w:fill="ffffff"/>
        </w:rPr>
        <w:t xml:space="preserve">6</w:t>
      </w:r>
      <w:r>
        <w:rPr>
          <w:rFonts w:hint="eastAsia" w:ascii="宋体" w:hAnsi="宋体" w:eastAsia="宋体" w:cs="宋体"/>
          <w:sz w:val="24"/>
          <w:szCs w:val="24"/>
          <w:shd w:val="clear" w:color="auto" w:fill="ffffff"/>
        </w:rPr>
        <w:t xml:space="preserve">、配送地址</w:t>
      </w:r>
      <w:r>
        <w:rPr>
          <w:rFonts w:hint="eastAsia" w:ascii="宋体" w:hAnsi="宋体" w:eastAsia="宋体" w:cs="宋体"/>
          <w:sz w:val="24"/>
          <w:szCs w:val="24"/>
          <w:shd w:val="clear" w:color="auto" w:fill="ffffff"/>
          <w:lang w:val="zh-CN"/>
        </w:rPr>
        <w:t xml:space="preserve">：苏州市公安局轨道公交分局（分局大楼、各基层派出所、巡特警大队）</w:t>
      </w:r>
      <w:r>
        <w:rPr>
          <w:rFonts w:hint="eastAsia" w:ascii="宋体" w:hAnsi="宋体" w:eastAsia="宋体" w:cs="宋体"/>
          <w:sz w:val="24"/>
          <w:szCs w:val="24"/>
          <w:shd w:val="clear" w:color="auto" w:fill="ffffff"/>
          <w:lang w:val="zh-CN"/>
        </w:rPr>
        <w:t xml:space="preserve">，</w:t>
      </w:r>
      <w:r>
        <w:rPr>
          <w:rFonts w:hint="eastAsia" w:ascii="宋体" w:hAnsi="宋体" w:eastAsia="宋体" w:cs="宋体"/>
          <w:sz w:val="24"/>
          <w:szCs w:val="24"/>
          <w:shd w:val="clear" w:color="auto" w:fill="ffffff"/>
        </w:rPr>
        <w:t xml:space="preserve">以采购方通知为准。</w:t>
      </w:r>
      <w:r>
        <w:rPr>
          <w:rFonts w:hint="eastAsia" w:hAnsi="宋体"/>
          <w:color w:val="000000"/>
          <w:sz w:val="24"/>
        </w:rPr>
      </w:r>
      <w:r/>
    </w:p>
    <w:p>
      <w:pPr>
        <w:pStyle w:val="723"/>
        <w:ind w:firstLine="482"/>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、采购范围：包括但不限于肉类（冰鲜/生鲜）、水产、冷冻品粮、油米面类、干货调料类、蛋奶类、果蔬类。</w:t>
      </w:r>
      <w:r>
        <w:rPr>
          <w:rFonts w:ascii="宋体" w:hAnsi="宋体" w:eastAsia="宋体"/>
          <w:sz w:val="24"/>
          <w:szCs w:val="24"/>
        </w:rPr>
      </w:r>
      <w:r/>
    </w:p>
    <w:p>
      <w:pPr>
        <w:pStyle w:val="723"/>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8</w:t>
      </w:r>
      <w:r>
        <w:rPr>
          <w:rFonts w:hint="eastAsia" w:ascii="宋体" w:hAnsi="宋体" w:eastAsia="宋体" w:cs="宋体"/>
          <w:sz w:val="24"/>
          <w:szCs w:val="24"/>
          <w:shd w:val="clear" w:color="auto" w:fill="ffffff"/>
        </w:rPr>
        <w:t xml:space="preserve">、采购内容：</w:t>
      </w:r>
      <w:r>
        <w:rPr>
          <w:rFonts w:ascii="宋体" w:hAnsi="宋体" w:eastAsia="宋体" w:cs="宋体"/>
          <w:sz w:val="24"/>
          <w:szCs w:val="24"/>
          <w:shd w:val="clear" w:color="auto" w:fill="ffffff"/>
        </w:rPr>
      </w:r>
      <w:r/>
    </w:p>
    <w:tbl>
      <w:tblPr>
        <w:tblW w:w="532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2430"/>
        <w:gridCol w:w="1545"/>
        <w:gridCol w:w="4897"/>
      </w:tblGrid>
      <w:tr>
        <w:trPr>
          <w:trHeight w:val="870"/>
        </w:trPr>
        <w:tc>
          <w:tcPr>
            <w:tcW w:w="515"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标段号</w:t>
            </w:r>
            <w:r/>
          </w:p>
        </w:tc>
        <w:tc>
          <w:tcPr>
            <w:tcW w:w="1228"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采购内容</w:t>
            </w:r>
            <w:r/>
          </w:p>
        </w:tc>
        <w:tc>
          <w:tcPr>
            <w:tcW w:w="781"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预算金额（万元）</w:t>
            </w:r>
            <w:r/>
          </w:p>
        </w:tc>
        <w:tc>
          <w:tcPr>
            <w:tcW w:w="2474"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配送点位</w:t>
            </w:r>
            <w:r/>
          </w:p>
        </w:tc>
      </w:tr>
      <w:tr>
        <w:trPr>
          <w:trHeight w:val="1300"/>
        </w:trPr>
        <w:tc>
          <w:tcPr>
            <w:tcW w:w="515"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p>
        </w:tc>
        <w:tc>
          <w:tcPr>
            <w:tcW w:w="1228"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轨道公交分局中环以内范围食堂食材配送</w:t>
            </w:r>
            <w:r/>
          </w:p>
        </w:tc>
        <w:tc>
          <w:tcPr>
            <w:tcW w:w="781" w:type="pct"/>
            <w:vAlign w:val="center"/>
            <w:textDirection w:val="lrTb"/>
            <w:noWrap w:val="false"/>
          </w:tcPr>
          <w:p>
            <w:pPr>
              <w:pStyle w:val="723"/>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365</w:t>
            </w:r>
            <w:r>
              <w:rPr>
                <w:rFonts w:hint="eastAsia" w:ascii="宋体" w:hAnsi="宋体" w:cs="宋体"/>
                <w:color w:val="000000"/>
                <w:sz w:val="24"/>
                <w:szCs w:val="24"/>
                <w:lang w:bidi="ar"/>
              </w:rPr>
              <w:t xml:space="preserve">.</w:t>
            </w:r>
            <w:r>
              <w:rPr>
                <w:rFonts w:hint="eastAsia" w:ascii="宋体" w:hAnsi="宋体" w:eastAsia="宋体" w:cs="宋体"/>
                <w:color w:val="000000"/>
                <w:sz w:val="24"/>
                <w:szCs w:val="24"/>
                <w:lang w:bidi="ar"/>
              </w:rPr>
              <w:t xml:space="preserve">364864</w:t>
            </w:r>
            <w:r>
              <w:rPr>
                <w:rFonts w:hint="eastAsia" w:ascii="宋体" w:hAnsi="宋体" w:eastAsia="宋体" w:cs="宋体"/>
                <w:color w:val="000000"/>
                <w:sz w:val="24"/>
                <w:szCs w:val="24"/>
              </w:rPr>
            </w:r>
            <w:r/>
          </w:p>
        </w:tc>
        <w:tc>
          <w:tcPr>
            <w:tcW w:w="2474" w:type="pct"/>
            <w:vAlign w:val="center"/>
            <w:textDirection w:val="lrTb"/>
            <w:noWrap w:val="false"/>
          </w:tcPr>
          <w:p>
            <w:pPr>
              <w:pStyle w:val="723"/>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火车站站派出所、星塘街站派出所、阳澄湖中路站派出所、庞金路站派出所、戈巷街站派出所、桑田岛站派出所、广济南路站派出所</w:t>
            </w:r>
            <w:r/>
          </w:p>
        </w:tc>
      </w:tr>
      <w:tr>
        <w:trPr>
          <w:trHeight w:val="567"/>
        </w:trPr>
        <w:tc>
          <w:tcPr>
            <w:tcW w:w="515"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p>
        </w:tc>
        <w:tc>
          <w:tcPr>
            <w:tcW w:w="1228"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轨道公交分局中环以外范围食堂食材配送</w:t>
            </w:r>
            <w:r/>
          </w:p>
        </w:tc>
        <w:tc>
          <w:tcPr>
            <w:tcW w:w="781"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310</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461888</w:t>
            </w:r>
            <w:r/>
          </w:p>
        </w:tc>
        <w:tc>
          <w:tcPr>
            <w:tcW w:w="2474"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分局大楼、巡特警大队、石湖路站派出所、刑侦大队办案中心、花墩站派出所、惠昌路站派出所、石湖莫舍站派出所</w:t>
            </w:r>
            <w:r/>
          </w:p>
        </w:tc>
      </w:tr>
    </w:tbl>
    <w:p>
      <w:pPr>
        <w:pStyle w:val="723"/>
        <w:spacing w:line="360" w:lineRule="auto"/>
        <w:rPr>
          <w:rFonts w:ascii="宋体" w:hAnsi="宋体" w:eastAsia="宋体" w:cs="宋体"/>
          <w:b/>
          <w:bCs/>
          <w:sz w:val="24"/>
          <w:szCs w:val="24"/>
        </w:rPr>
      </w:pPr>
      <w:r>
        <w:rPr>
          <w:rFonts w:ascii="宋体" w:hAnsi="宋体" w:eastAsia="宋体" w:cs="宋体"/>
          <w:b/>
          <w:bCs/>
          <w:sz w:val="24"/>
          <w:szCs w:val="24"/>
        </w:rPr>
      </w:r>
      <w:r/>
    </w:p>
    <w:p>
      <w:pPr>
        <w:pStyle w:val="723"/>
        <w:ind w:firstLine="480"/>
        <w:jc w:val="left"/>
        <w:spacing w:line="360" w:lineRule="auto"/>
        <w:shd w:val="clear" w:color="auto" w:fill="ffffff"/>
        <w:widowControl/>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注：（1）允许一个投标单位报名多个标段，但一个投标单位最多只能就其中一个标段中标，开评标顺序依次为第一标段、第二标段。每个标段中标人为一名，按先开先中的原则，确定投标单位的中标标段。已中标的投标单位在后面的标段中失去得标权，不再参与后续标段的评审。</w:t>
      </w:r>
      <w:r/>
    </w:p>
    <w:p>
      <w:pPr>
        <w:pStyle w:val="723"/>
        <w:jc w:val="left"/>
        <w:spacing w:line="360" w:lineRule="auto"/>
        <w:shd w:val="clear" w:color="auto" w:fill="ffffff"/>
        <w:widowControl/>
        <w:rPr>
          <w:rFonts w:ascii="宋体" w:hAnsi="宋体" w:eastAsia="宋体" w:cs="宋体"/>
          <w:b/>
          <w:sz w:val="24"/>
          <w:szCs w:val="24"/>
        </w:rPr>
      </w:pPr>
      <w:r>
        <w:rPr>
          <w:rFonts w:hint="eastAsia" w:ascii="宋体" w:hAnsi="宋体" w:eastAsia="宋体" w:cs="宋体"/>
          <w:b/>
          <w:sz w:val="24"/>
          <w:szCs w:val="24"/>
        </w:rPr>
        <w:t xml:space="preserve">二、申请人的资格要求：</w:t>
      </w:r>
      <w:r>
        <w:rPr>
          <w:rFonts w:ascii="宋体" w:hAnsi="宋体" w:eastAsia="宋体" w:cs="宋体"/>
          <w:b/>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1、满足《中华人民共和国政府采购法》第二十二条规定：</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（1）具有独立承担民事责任的能力；</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（2）具有良好的商业信誉和健全的财务会计制度；</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（3）具有履行合同所必需的设备和专业技术能力；</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（4）有依法缴纳税收和社会保障资金的良好记录；</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（5）参加政府采购活动前三年内，在经营活动中没有重大违法记录；</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（6）法律、行政法规规定的其他条件。</w:t>
      </w:r>
      <w:r>
        <w:rPr>
          <w:rFonts w:ascii="宋体" w:hAnsi="宋体" w:eastAsia="宋体" w:cs="宋体"/>
          <w:sz w:val="24"/>
          <w:szCs w:val="24"/>
        </w:rPr>
      </w:r>
      <w:r/>
    </w:p>
    <w:p>
      <w:pPr>
        <w:pStyle w:val="723"/>
        <w:ind w:firstLine="482"/>
        <w:jc w:val="left"/>
        <w:spacing w:line="360" w:lineRule="auto"/>
        <w:shd w:val="clear" w:color="auto" w:fill="ffffff"/>
        <w:widowControl/>
        <w:rPr>
          <w:rFonts w:hint="eastAsia" w:ascii="宋体" w:hAnsi="宋体" w:eastAsia="宋体" w:cs="宋体"/>
          <w:bCs/>
          <w:sz w:val="24"/>
          <w:szCs w:val="24"/>
          <w:shd w:val="clear" w:color="auto" w:fill="ffffff"/>
        </w:rPr>
      </w:pPr>
      <w:r>
        <w:rPr>
          <w:rFonts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rPr>
        <w:t xml:space="preserve">落实政府采购政策需满足的资格要求：本项目专门面向中小企业采购</w:t>
      </w:r>
      <w:r>
        <w:rPr>
          <w:rFonts w:hint="eastAsia" w:ascii="宋体" w:hAnsi="宋体" w:eastAsia="宋体" w:cs="宋体"/>
          <w:bCs/>
          <w:sz w:val="24"/>
          <w:szCs w:val="24"/>
          <w:shd w:val="clear" w:color="auto" w:fill="ffffff"/>
        </w:rPr>
        <w:t xml:space="preserve">，承接服务的供应商应为中小微企业、监狱企业、残疾人福利性单位。供应商必须提供《中小企业声明函》或《残疾人福利性单位声明函》或由省级以上监狱管理局、戒毒管理局（含新疆生产建设兵团）出具的属于监狱企业的证明文件，所属行业为批发业。</w:t>
      </w:r>
      <w:r/>
    </w:p>
    <w:p>
      <w:pPr>
        <w:pStyle w:val="723"/>
        <w:ind w:firstLine="482"/>
        <w:jc w:val="left"/>
        <w:spacing w:line="360" w:lineRule="auto"/>
        <w:shd w:val="clear" w:color="auto" w:fill="ffffff"/>
        <w:widowControl/>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3.本项目的特定资格要求：</w:t>
      </w:r>
      <w:r/>
    </w:p>
    <w:p>
      <w:pPr>
        <w:pStyle w:val="723"/>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hint="eastAsia" w:ascii="宋体" w:hAnsi="宋体" w:eastAsia="宋体" w:cs="宋体"/>
          <w:b/>
          <w:bCs/>
          <w:sz w:val="24"/>
          <w:szCs w:val="24"/>
          <w:shd w:val="clear" w:color="auto" w:fill="ffffff"/>
        </w:rPr>
        <w:t xml:space="preserve">投标单位具有有效期内的《食品经营许可证》</w:t>
      </w:r>
      <w:r>
        <w:rPr>
          <w:rFonts w:hint="eastAsia" w:ascii="宋体" w:hAnsi="宋体" w:eastAsia="宋体" w:cs="宋体"/>
          <w:sz w:val="24"/>
          <w:szCs w:val="24"/>
          <w:shd w:val="clear" w:color="auto" w:fill="ffffff"/>
        </w:rPr>
        <w:t xml:space="preserve">；</w:t>
      </w:r>
      <w:r/>
    </w:p>
    <w:p>
      <w:pPr>
        <w:pStyle w:val="723"/>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（2）未被“信用中国”网站或“中国政府采购网”网站列入失信被执行人、重大税收违法案件当事人名单、政府采购严重失信行为记录名单；</w:t>
      </w:r>
      <w:r/>
    </w:p>
    <w:p>
      <w:pPr>
        <w:pStyle w:val="723"/>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（3）本项目 不接受 (接受/不接受)联合体响应；</w:t>
      </w:r>
      <w:r/>
    </w:p>
    <w:p>
      <w:pPr>
        <w:pStyle w:val="723"/>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pStyle w:val="723"/>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三、报名及招标文件的获取</w:t>
      </w:r>
      <w:r>
        <w:rPr>
          <w:rFonts w:ascii="宋体" w:hAnsi="宋体" w:eastAsia="宋体" w:cs="宋体"/>
          <w:sz w:val="24"/>
          <w:szCs w:val="24"/>
        </w:rPr>
      </w:r>
      <w:r/>
    </w:p>
    <w:p>
      <w:pPr>
        <w:pStyle w:val="748"/>
        <w:ind w:firstLine="480"/>
        <w:spacing w:line="360" w:lineRule="auto"/>
        <w:rPr>
          <w:rFonts w:ascii="宋体" w:hAnsi="宋体" w:eastAsia="宋体"/>
          <w:b/>
          <w:szCs w:val="24"/>
        </w:rPr>
      </w:pPr>
      <w:r/>
      <w:bookmarkStart w:id="1" w:name="_Toc28359005"/>
      <w:r/>
      <w:bookmarkStart w:id="2" w:name="_Toc28359082"/>
      <w:r/>
      <w:bookmarkStart w:id="3" w:name="_Toc35393624"/>
      <w:r/>
      <w:bookmarkStart w:id="4" w:name="_Toc35393793"/>
      <w:r>
        <w:rPr>
          <w:rFonts w:hint="eastAsia" w:ascii="宋体" w:hAnsi="宋体" w:eastAsia="宋体"/>
          <w:szCs w:val="24"/>
        </w:rPr>
        <w:t xml:space="preserve">1.时间：自招标文件公告发布之日起5个工作日</w:t>
      </w:r>
      <w:r>
        <w:rPr>
          <w:rFonts w:ascii="宋体" w:hAnsi="宋体" w:eastAsia="宋体"/>
          <w:b/>
          <w:szCs w:val="24"/>
        </w:rPr>
      </w:r>
      <w:r/>
    </w:p>
    <w:p>
      <w:pPr>
        <w:pStyle w:val="748"/>
        <w:ind w:firstLine="480"/>
        <w:spacing w:line="360" w:lineRule="auto"/>
        <w:rPr>
          <w:rFonts w:hint="eastAsia" w:ascii="宋体" w:hAnsi="宋体" w:eastAsia="宋体"/>
          <w:szCs w:val="24"/>
        </w:rPr>
      </w:pPr>
      <w:r>
        <w:rPr>
          <w:rFonts w:hint="eastAsia" w:ascii="宋体" w:hAnsi="宋体" w:eastAsia="宋体"/>
          <w:szCs w:val="24"/>
        </w:rPr>
        <w:t xml:space="preserve">2.地点：江苏省政府采购一体化平台“苏采云”系统自行下载。</w:t>
      </w:r>
      <w:r/>
    </w:p>
    <w:p>
      <w:pPr>
        <w:pStyle w:val="748"/>
        <w:ind w:firstLine="480"/>
        <w:spacing w:line="360" w:lineRule="auto"/>
        <w:rPr>
          <w:rFonts w:ascii="宋体" w:hAnsi="宋体" w:eastAsia="宋体"/>
          <w:szCs w:val="24"/>
        </w:rPr>
      </w:pPr>
      <w:r>
        <w:rPr>
          <w:rFonts w:hint="eastAsia" w:ascii="宋体" w:hAnsi="宋体" w:eastAsia="宋体"/>
          <w:szCs w:val="24"/>
        </w:rPr>
        <w:t xml:space="preserve">3.方式：</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（1）CA证书办理</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eastAsia="宋体"/>
          <w:szCs w:val="24"/>
        </w:rPr>
      </w:r>
      <w:r/>
    </w:p>
    <w:p>
      <w:pPr>
        <w:pStyle w:val="748"/>
        <w:ind w:firstLine="480"/>
        <w:spacing w:line="360" w:lineRule="auto"/>
        <w:rPr>
          <w:rFonts w:ascii="宋体" w:hAnsi="宋体" w:eastAsia="宋体"/>
          <w:b/>
          <w:szCs w:val="24"/>
        </w:rPr>
      </w:pPr>
      <w:r>
        <w:rPr>
          <w:rFonts w:hint="eastAsia" w:ascii="宋体" w:hAnsi="宋体" w:eastAsia="宋体"/>
          <w:szCs w:val="24"/>
        </w:rPr>
        <w:t xml:space="preserve">（2）参与采购活动</w:t>
      </w:r>
      <w:r>
        <w:rPr>
          <w:rFonts w:ascii="宋体" w:hAnsi="宋体" w:eastAsia="宋体"/>
          <w:b/>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（3）电子投标准备</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szCs w:val="24"/>
        </w:rPr>
        <w:t xml:space="preserve">https://czju.suzhou.gov.cn/zfcg/html/content/20231220161910031.shtml</w:t>
      </w:r>
      <w:r>
        <w:rPr>
          <w:rFonts w:hint="eastAsia" w:ascii="宋体" w:hAnsi="宋体" w:eastAsia="宋体"/>
          <w:szCs w:val="24"/>
        </w:rPr>
        <w:t xml:space="preserve">）。</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18261002950</w:t>
      </w:r>
      <w:r>
        <w:rPr>
          <w:rFonts w:hint="eastAsia" w:ascii="宋体" w:hAnsi="宋体" w:eastAsia="宋体"/>
          <w:szCs w:val="24"/>
        </w:rPr>
        <w:t xml:space="preserve">；</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系统使用指导与咨询：联系电话：18261002950；QQ：3048755361、1315179389、895706745。</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4.售价：免费</w:t>
      </w:r>
      <w:r>
        <w:rPr>
          <w:rFonts w:ascii="宋体" w:hAnsi="宋体" w:eastAsia="宋体"/>
          <w:szCs w:val="24"/>
        </w:rPr>
      </w:r>
      <w:r/>
    </w:p>
    <w:p>
      <w:pPr>
        <w:pStyle w:val="723"/>
        <w:spacing w:line="360" w:lineRule="auto"/>
        <w:rPr>
          <w:rFonts w:ascii="宋体" w:hAnsi="宋体" w:eastAsia="宋体" w:cs="宋体"/>
          <w:b/>
          <w:sz w:val="24"/>
          <w:szCs w:val="24"/>
        </w:rPr>
      </w:pPr>
      <w:r>
        <w:rPr>
          <w:rFonts w:hint="eastAsia" w:ascii="宋体" w:hAnsi="宋体" w:eastAsia="宋体" w:cs="宋体"/>
          <w:b/>
          <w:sz w:val="24"/>
          <w:szCs w:val="24"/>
        </w:rPr>
        <w:t xml:space="preserve">四、提交投标文件</w:t>
      </w:r>
      <w:bookmarkEnd w:id="1"/>
      <w:r/>
      <w:bookmarkEnd w:id="2"/>
      <w:r>
        <w:rPr>
          <w:rFonts w:hint="eastAsia" w:ascii="宋体" w:hAnsi="宋体" w:eastAsia="宋体" w:cs="宋体"/>
          <w:b/>
          <w:sz w:val="24"/>
          <w:szCs w:val="24"/>
        </w:rPr>
        <w:t xml:space="preserve">截止时间、开标时间和地点</w:t>
      </w:r>
      <w:bookmarkEnd w:id="3"/>
      <w:r/>
      <w:bookmarkEnd w:id="4"/>
      <w:r>
        <w:rPr>
          <w:rFonts w:ascii="宋体" w:hAnsi="宋体" w:eastAsia="宋体" w:cs="宋体"/>
          <w:b/>
          <w:sz w:val="24"/>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1.提交投标文件截止时间：</w:t>
      </w:r>
      <w:r>
        <w:rPr>
          <w:rFonts w:hint="eastAsia" w:ascii="宋体" w:hAnsi="宋体" w:eastAsia="宋体"/>
          <w:szCs w:val="24"/>
          <w:u w:val="single"/>
        </w:rPr>
        <w:t xml:space="preserve">2025年11月18日9点30分</w:t>
      </w:r>
      <w:r>
        <w:rPr>
          <w:rFonts w:hint="eastAsia" w:ascii="宋体" w:hAnsi="宋体" w:eastAsia="宋体"/>
          <w:szCs w:val="24"/>
        </w:rPr>
        <w:t xml:space="preserve">（北京时间）；</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2.开标时间：</w:t>
      </w:r>
      <w:r>
        <w:rPr>
          <w:rFonts w:hint="eastAsia" w:ascii="宋体" w:hAnsi="宋体" w:eastAsia="宋体"/>
          <w:szCs w:val="24"/>
          <w:u w:val="single"/>
        </w:rPr>
        <w:t xml:space="preserve">2025年11月18日9点30分</w:t>
      </w:r>
      <w:r>
        <w:rPr>
          <w:rFonts w:hint="eastAsia" w:ascii="宋体" w:hAnsi="宋体" w:eastAsia="宋体"/>
          <w:szCs w:val="24"/>
        </w:rPr>
        <w:t xml:space="preserve">（北京时间）；</w:t>
      </w:r>
      <w:r>
        <w:rPr>
          <w:rFonts w:ascii="宋体" w:hAnsi="宋体" w:eastAsia="宋体"/>
          <w:szCs w:val="24"/>
        </w:rPr>
      </w:r>
      <w:r/>
    </w:p>
    <w:p>
      <w:pPr>
        <w:pStyle w:val="748"/>
        <w:ind w:firstLine="480"/>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开标地点：“苏采云”系统（网址：</w:t>
      </w:r>
      <w:r>
        <w:rPr>
          <w:rFonts w:ascii="宋体" w:hAnsi="宋体" w:eastAsia="宋体"/>
          <w:szCs w:val="24"/>
        </w:rPr>
        <w:t xml:space="preserve">http://jszfcg.jsczt.cn/</w:t>
      </w:r>
      <w:r>
        <w:rPr>
          <w:rFonts w:hint="eastAsia" w:ascii="宋体" w:hAnsi="宋体" w:eastAsia="宋体"/>
          <w:szCs w:val="24"/>
        </w:rPr>
        <w:t xml:space="preserve">）</w:t>
      </w:r>
      <w:r>
        <w:rPr>
          <w:rFonts w:ascii="宋体" w:hAnsi="宋体" w:eastAsia="宋体"/>
          <w:szCs w:val="24"/>
        </w:rPr>
      </w:r>
      <w:r/>
    </w:p>
    <w:p>
      <w:pPr>
        <w:pStyle w:val="748"/>
        <w:ind w:firstLine="480"/>
        <w:spacing w:line="360" w:lineRule="auto"/>
        <w:rPr>
          <w:rFonts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请供应商确保电脑、系统及其他设备（视频输入输出设备等）无误，且开标直至项目结束始终保持系统在线状态。</w:t>
      </w:r>
      <w:r>
        <w:rPr>
          <w:rFonts w:ascii="宋体" w:hAnsi="宋体" w:eastAsia="宋体"/>
          <w:szCs w:val="24"/>
        </w:rPr>
      </w:r>
      <w:r/>
    </w:p>
    <w:p>
      <w:pPr>
        <w:pStyle w:val="723"/>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五、公告期限</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自本公告发布之日起5个工作日。</w:t>
      </w:r>
      <w:r>
        <w:rPr>
          <w:rFonts w:ascii="宋体" w:hAnsi="宋体" w:eastAsia="宋体" w:cs="宋体"/>
          <w:sz w:val="24"/>
          <w:szCs w:val="24"/>
        </w:rPr>
      </w:r>
      <w:r/>
    </w:p>
    <w:p>
      <w:pPr>
        <w:pStyle w:val="723"/>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六、其他补充事宜</w:t>
      </w:r>
      <w:r>
        <w:rPr>
          <w:rFonts w:ascii="宋体" w:hAnsi="宋体" w:eastAsia="宋体" w:cs="宋体"/>
          <w:sz w:val="24"/>
          <w:szCs w:val="24"/>
        </w:rPr>
      </w:r>
      <w:r/>
    </w:p>
    <w:p>
      <w:pPr>
        <w:pStyle w:val="723"/>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rPr>
        <w:t xml:space="preserve">本项目获取招标文件截止日期之后仍可以下载招标文件，但截止日期之后下载的招标文件，视为非有效方式且不作为供应商权益受到损害的证明材料和依据。</w:t>
      </w:r>
      <w:r>
        <w:rPr>
          <w:rFonts w:ascii="宋体" w:hAnsi="宋体" w:eastAsia="宋体" w:cs="宋体"/>
          <w:sz w:val="24"/>
          <w:szCs w:val="24"/>
        </w:rPr>
      </w:r>
      <w:r/>
    </w:p>
    <w:p>
      <w:pPr>
        <w:pStyle w:val="72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3.政府采购监督电话：</w:t>
      </w:r>
      <w:r>
        <w:rPr>
          <w:rFonts w:hint="eastAsia" w:ascii="宋体" w:hAnsi="宋体" w:eastAsia="宋体" w:cs="宋体"/>
          <w:sz w:val="24"/>
          <w:szCs w:val="24"/>
        </w:rPr>
        <w:t xml:space="preserve">0512-68616651。</w:t>
      </w:r>
      <w:r>
        <w:rPr>
          <w:rFonts w:ascii="宋体" w:hAnsi="宋体" w:eastAsia="宋体" w:cs="宋体"/>
          <w:sz w:val="24"/>
          <w:szCs w:val="24"/>
        </w:rPr>
      </w:r>
      <w:r/>
    </w:p>
    <w:p>
      <w:pPr>
        <w:pStyle w:val="723"/>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七、凡对本次招标提出询问，请按以下方式联系。</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1.采购人信息</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名称：苏州市公安局</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地址：苏州市相城区人民路3998号</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联系人：陈菲</w:t>
      </w:r>
      <w:r>
        <w:rPr>
          <w:rFonts w:ascii="宋体" w:hAnsi="宋体" w:eastAsia="宋体" w:cs="宋体"/>
          <w:sz w:val="24"/>
          <w:szCs w:val="24"/>
          <w:shd w:val="clear" w:color="auto" w:fill="ffffff"/>
        </w:rPr>
      </w:r>
      <w:r/>
    </w:p>
    <w:p>
      <w:pPr>
        <w:pStyle w:val="723"/>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电 话：</w:t>
      </w:r>
      <w:r>
        <w:rPr>
          <w:rFonts w:hint="eastAsia" w:ascii="宋体" w:hAnsi="宋体" w:eastAsia="宋体" w:cs="宋体"/>
          <w:sz w:val="24"/>
          <w:szCs w:val="24"/>
        </w:rPr>
        <w:t xml:space="preserve">0512-65111701</w:t>
      </w:r>
      <w:r>
        <w:rPr>
          <w:rFonts w:ascii="宋体" w:hAnsi="宋体" w:eastAsia="宋体" w:cs="宋体"/>
          <w:sz w:val="24"/>
          <w:szCs w:val="24"/>
          <w:shd w:val="clear" w:color="auto" w:fill="ffffff"/>
        </w:rPr>
      </w:r>
      <w:r/>
    </w:p>
    <w:p>
      <w:pPr>
        <w:pStyle w:val="723"/>
        <w:ind w:firstLine="480"/>
        <w:jc w:val="left"/>
        <w:spacing w:line="360" w:lineRule="auto"/>
        <w:shd w:val="clear" w:color="auto" w:fill="ffffff"/>
        <w:widowControl/>
        <w:rPr>
          <w:rFonts w:ascii="宋体" w:hAnsi="宋体" w:eastAsia="宋体" w:cs="宋体"/>
          <w:sz w:val="24"/>
          <w:szCs w:val="24"/>
        </w:rPr>
      </w:pPr>
      <w:r>
        <w:rPr>
          <w:rFonts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.代理机构信息</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名称：苏州鸿鑫工程咨询有限公司</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地址：苏州市相城区嘉元路1018号元联大厦10层</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联系人：吴极、赵雷、于民峰</w:t>
      </w:r>
      <w:r>
        <w:rPr>
          <w:rFonts w:ascii="宋体" w:hAnsi="宋体" w:eastAsia="宋体" w:cs="宋体"/>
          <w:sz w:val="24"/>
          <w:szCs w:val="24"/>
        </w:rPr>
      </w:r>
      <w:r/>
    </w:p>
    <w:p>
      <w:pPr>
        <w:pStyle w:val="723"/>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电 话：0512-65981595-81</w:t>
      </w:r>
      <w:r>
        <w:rPr>
          <w:rFonts w:ascii="宋体" w:hAnsi="宋体" w:eastAsia="宋体" w:cs="宋体"/>
          <w:sz w:val="24"/>
          <w:szCs w:val="24"/>
          <w:shd w:val="clear" w:color="auto" w:fill="ffffff"/>
        </w:rPr>
        <w:t xml:space="preserve">22</w:t>
      </w:r>
      <w:r>
        <w:rPr>
          <w:rFonts w:ascii="宋体" w:hAnsi="宋体" w:eastAsia="宋体" w:cs="宋体"/>
          <w:sz w:val="24"/>
          <w:szCs w:val="24"/>
        </w:rPr>
      </w:r>
      <w:r/>
    </w:p>
    <w:p>
      <w:pPr>
        <w:pStyle w:val="723"/>
        <w:jc w:val="left"/>
        <w:widowControl/>
        <w:rPr>
          <w:rFonts w:ascii="宋体" w:hAnsi="宋体" w:eastAsia="宋体"/>
          <w:color w:val="000000"/>
          <w:sz w:val="32"/>
          <w:szCs w:val="32"/>
        </w:rPr>
      </w:pPr>
      <w:r>
        <w:rPr>
          <w:rFonts w:ascii="宋体" w:hAnsi="宋体" w:eastAsia="宋体"/>
          <w:color w:val="000000"/>
          <w:sz w:val="32"/>
          <w:szCs w:val="32"/>
        </w:rPr>
        <w:br w:type="page" w:clear="all"/>
      </w:r>
      <w:r>
        <w:rPr>
          <w:rFonts w:ascii="宋体" w:hAnsi="宋体" w:eastAsia="宋体"/>
          <w:color w:val="000000"/>
          <w:sz w:val="32"/>
          <w:szCs w:val="32"/>
        </w:rPr>
      </w:r>
      <w:r/>
    </w:p>
    <w:p>
      <w:pPr>
        <w:pStyle w:val="723"/>
        <w:rPr>
          <w:rFonts w:ascii="宋体" w:hAnsi="宋体" w:eastAsia="宋体"/>
          <w:color w:val="000000"/>
          <w:sz w:val="32"/>
          <w:szCs w:val="32"/>
        </w:rPr>
      </w:pPr>
      <w:r>
        <w:rPr>
          <w:rFonts w:ascii="宋体" w:hAnsi="宋体" w:eastAsia="宋体"/>
          <w:color w:val="000000"/>
          <w:sz w:val="32"/>
          <w:szCs w:val="32"/>
        </w:rPr>
      </w:r>
      <w:r/>
    </w:p>
    <w:p>
      <w:pPr>
        <w:pStyle w:val="723"/>
        <w:rPr>
          <w:rFonts w:ascii="宋体" w:hAnsi="宋体" w:eastAsia="宋体"/>
          <w:color w:val="000000"/>
          <w:sz w:val="32"/>
          <w:szCs w:val="32"/>
        </w:rPr>
      </w:pPr>
      <w:r>
        <w:rPr>
          <w:rFonts w:ascii="宋体" w:hAnsi="宋体" w:eastAsia="宋体"/>
          <w:color w:val="000000"/>
          <w:sz w:val="32"/>
          <w:szCs w:val="32"/>
        </w:rPr>
      </w:r>
      <w:r/>
    </w:p>
    <w:p>
      <w:pPr>
        <w:pStyle w:val="723"/>
        <w:rPr>
          <w:rFonts w:ascii="宋体" w:hAnsi="宋体" w:eastAsia="宋体"/>
          <w:color w:val="000000"/>
          <w:sz w:val="32"/>
          <w:szCs w:val="32"/>
        </w:rPr>
      </w:pPr>
      <w:r>
        <w:rPr>
          <w:rFonts w:ascii="宋体" w:hAnsi="宋体" w:eastAsia="宋体"/>
          <w:color w:val="000000"/>
          <w:sz w:val="32"/>
          <w:szCs w:val="32"/>
        </w:rPr>
      </w:r>
      <w:r/>
    </w:p>
    <w:p>
      <w:pPr>
        <w:pStyle w:val="723"/>
        <w:rPr>
          <w:rFonts w:ascii="宋体" w:hAnsi="宋体" w:eastAsia="宋体"/>
          <w:color w:val="000000"/>
          <w:sz w:val="32"/>
          <w:szCs w:val="32"/>
        </w:rPr>
      </w:pPr>
      <w:r>
        <w:rPr>
          <w:rFonts w:ascii="宋体" w:hAnsi="宋体" w:eastAsia="宋体"/>
          <w:color w:val="000000"/>
          <w:sz w:val="32"/>
          <w:szCs w:val="32"/>
        </w:rPr>
      </w:r>
      <w:r/>
    </w:p>
    <w:p>
      <w:pPr>
        <w:pStyle w:val="723"/>
        <w:rPr>
          <w:rFonts w:ascii="宋体" w:hAnsi="宋体" w:eastAsia="宋体"/>
          <w:color w:val="000000"/>
          <w:sz w:val="32"/>
          <w:szCs w:val="32"/>
        </w:rPr>
      </w:pPr>
      <w:r>
        <w:rPr>
          <w:rFonts w:ascii="宋体" w:hAnsi="宋体" w:eastAsia="宋体"/>
          <w:color w:val="000000"/>
          <w:sz w:val="32"/>
          <w:szCs w:val="32"/>
        </w:rPr>
      </w:r>
      <w:r/>
    </w:p>
    <w:p>
      <w:pPr>
        <w:pStyle w:val="724"/>
        <w:jc w:val="center"/>
        <w:rPr>
          <w:rFonts w:ascii="宋体" w:hAnsi="宋体" w:eastAsia="宋体"/>
          <w:color w:val="000000"/>
          <w:sz w:val="52"/>
        </w:rPr>
      </w:pPr>
      <w:r/>
      <w:bookmarkStart w:id="5" w:name="_Toc50373296"/>
      <w:r>
        <w:rPr>
          <w:rFonts w:ascii="宋体" w:hAnsi="宋体" w:eastAsia="宋体"/>
          <w:color w:val="000000"/>
          <w:sz w:val="52"/>
        </w:rPr>
      </w:r>
      <w:r/>
    </w:p>
    <w:p>
      <w:pPr>
        <w:pStyle w:val="724"/>
        <w:jc w:val="center"/>
        <w:rPr>
          <w:rFonts w:ascii="宋体" w:hAnsi="宋体" w:eastAsia="宋体"/>
          <w:color w:val="000000"/>
          <w:sz w:val="52"/>
        </w:rPr>
      </w:pPr>
      <w:r>
        <w:rPr>
          <w:rFonts w:ascii="宋体" w:hAnsi="宋体" w:eastAsia="宋体"/>
          <w:color w:val="000000"/>
          <w:sz w:val="52"/>
        </w:rPr>
      </w:r>
      <w:r/>
    </w:p>
    <w:p>
      <w:pPr>
        <w:pStyle w:val="724"/>
        <w:jc w:val="center"/>
        <w:rPr>
          <w:rFonts w:ascii="宋体" w:hAnsi="宋体" w:eastAsia="宋体"/>
          <w:color w:val="000000"/>
          <w:sz w:val="52"/>
        </w:rPr>
      </w:pPr>
      <w:r>
        <w:rPr>
          <w:rFonts w:hint="eastAsia" w:ascii="宋体" w:hAnsi="宋体" w:eastAsia="宋体"/>
          <w:color w:val="000000"/>
          <w:sz w:val="52"/>
        </w:rPr>
        <w:t xml:space="preserve">第二章投标单位须知</w:t>
      </w:r>
      <w:bookmarkEnd w:id="5"/>
      <w:r>
        <w:rPr>
          <w:rFonts w:ascii="宋体" w:hAnsi="宋体" w:eastAsia="宋体"/>
          <w:color w:val="000000"/>
          <w:sz w:val="52"/>
        </w:rPr>
      </w:r>
      <w:r/>
    </w:p>
    <w:p>
      <w:pPr>
        <w:pStyle w:val="723"/>
        <w:spacing w:line="360" w:lineRule="auto"/>
        <w:rPr>
          <w:rFonts w:ascii="宋体" w:hAnsi="宋体" w:eastAsia="宋体"/>
          <w:b/>
          <w:color w:val="000000"/>
          <w:sz w:val="24"/>
          <w:szCs w:val="24"/>
        </w:rPr>
      </w:pPr>
      <w:r>
        <w:rPr>
          <w:rFonts w:ascii="宋体" w:hAnsi="宋体" w:eastAsia="宋体"/>
          <w:color w:val="000000"/>
          <w:sz w:val="24"/>
        </w:rPr>
        <w:br w:type="page" w:clear="all"/>
      </w:r>
      <w:r>
        <w:rPr>
          <w:rFonts w:hint="eastAsia" w:ascii="宋体" w:hAnsi="宋体" w:eastAsia="宋体"/>
          <w:b/>
          <w:color w:val="000000"/>
          <w:sz w:val="24"/>
          <w:szCs w:val="24"/>
        </w:rPr>
        <w:t xml:space="preserve">一、说明和释义</w:t>
      </w:r>
      <w:r>
        <w:rPr>
          <w:rFonts w:ascii="宋体" w:hAnsi="宋体" w:eastAsia="宋体"/>
          <w:b/>
          <w:color w:val="000000"/>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w:t>
      </w:r>
      <w:r>
        <w:rPr>
          <w:rFonts w:ascii="宋体" w:hAnsi="宋体" w:eastAsia="宋体"/>
          <w:b/>
          <w:sz w:val="24"/>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本招标文件仅适用于苏州鸿鑫工程咨询有限公司组织的招标活动。</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本招标文件的解释权属于苏州鸿鑫工程咨询有限公司。</w:t>
      </w:r>
      <w:r>
        <w:rPr>
          <w:rFonts w:ascii="宋体" w:hAnsi="宋体" w:eastAsia="宋体"/>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rPr>
          <w:rFonts w:ascii="宋体" w:hAnsi="宋体" w:eastAsia="宋体"/>
          <w:b/>
          <w:sz w:val="24"/>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采购方：指依法进行政府采购的国家机关、事业单位、团体组织。</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2.2</w:t>
      </w:r>
      <w:r>
        <w:rPr>
          <w:rFonts w:hint="eastAsia" w:ascii="宋体" w:hAnsi="宋体" w:eastAsia="宋体"/>
          <w:szCs w:val="24"/>
        </w:rPr>
        <w:t xml:space="preserve">采购代理机构：指依法接受采购人委托，从事政府采购代理业务的社会中介机构。</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3投标单位：</w:t>
      </w:r>
      <w:r>
        <w:rPr>
          <w:rFonts w:ascii="宋体" w:hAnsi="宋体" w:eastAsia="宋体" w:cs="Arial"/>
          <w:szCs w:val="24"/>
        </w:rPr>
        <w:t xml:space="preserve">指响应招标、参加投标竞争的法人、其他组织或者自然人。</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4响应：投标单位根据采购方或采购代理机构发布的招标文件，编制投标文件并按规定投标的行为。</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6甲方（采购方）：合同中明确规定的实际购买货物和服务的法人或其他组织和自然人。</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7乙方（投标单位）：合同中规定的向采购方提供货物和服务的法人或其他组织和自然人。</w:t>
      </w:r>
      <w:r>
        <w:rPr>
          <w:rFonts w:ascii="宋体" w:hAnsi="宋体" w:eastAsia="宋体"/>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w:t>
      </w:r>
      <w:r>
        <w:rPr>
          <w:rFonts w:ascii="宋体" w:hAnsi="宋体" w:eastAsia="宋体"/>
          <w:sz w:val="24"/>
          <w:szCs w:val="24"/>
        </w:rPr>
        <w:t xml:space="preserve">货物</w:t>
      </w:r>
      <w:r>
        <w:rPr>
          <w:rFonts w:hint="eastAsia" w:ascii="宋体" w:hAnsi="宋体" w:eastAsia="宋体"/>
          <w:sz w:val="24"/>
          <w:szCs w:val="24"/>
        </w:rPr>
        <w:t xml:space="preserve">：</w:t>
      </w:r>
      <w:r>
        <w:rPr>
          <w:rFonts w:ascii="宋体" w:hAnsi="宋体" w:eastAsia="宋体"/>
          <w:sz w:val="24"/>
          <w:szCs w:val="24"/>
        </w:rPr>
        <w:t xml:space="preserve">系指</w:t>
      </w:r>
      <w:r>
        <w:rPr>
          <w:rFonts w:hint="eastAsia" w:ascii="宋体" w:hAnsi="宋体" w:eastAsia="宋体"/>
          <w:sz w:val="24"/>
          <w:szCs w:val="24"/>
        </w:rPr>
        <w:t xml:space="preserve">乙</w:t>
      </w:r>
      <w:r>
        <w:rPr>
          <w:rFonts w:ascii="宋体" w:hAnsi="宋体" w:eastAsia="宋体"/>
          <w:sz w:val="24"/>
          <w:szCs w:val="24"/>
        </w:rPr>
        <w:t xml:space="preserve">方按招标采购文件规定，</w:t>
      </w:r>
      <w:r>
        <w:rPr>
          <w:rFonts w:hint="eastAsia" w:ascii="宋体" w:hAnsi="宋体" w:eastAsia="宋体"/>
          <w:sz w:val="24"/>
          <w:szCs w:val="24"/>
        </w:rPr>
        <w:t xml:space="preserve">应</w:t>
      </w:r>
      <w:r>
        <w:rPr>
          <w:rFonts w:ascii="宋体" w:hAnsi="宋体" w:eastAsia="宋体"/>
          <w:sz w:val="24"/>
          <w:szCs w:val="24"/>
        </w:rPr>
        <w:t xml:space="preserve">向</w:t>
      </w:r>
      <w:r>
        <w:rPr>
          <w:rFonts w:hint="eastAsia" w:ascii="宋体" w:hAnsi="宋体" w:eastAsia="宋体"/>
          <w:sz w:val="24"/>
          <w:szCs w:val="24"/>
        </w:rPr>
        <w:t xml:space="preserve">甲</w:t>
      </w:r>
      <w:r>
        <w:rPr>
          <w:rFonts w:ascii="宋体" w:hAnsi="宋体" w:eastAsia="宋体"/>
          <w:sz w:val="24"/>
          <w:szCs w:val="24"/>
        </w:rPr>
        <w:t xml:space="preserve">方提供的一切设备、备品、备件、工具、手册及其它有关技术资料和材料。</w:t>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2.9</w:t>
      </w:r>
      <w:r>
        <w:rPr>
          <w:rFonts w:ascii="宋体" w:hAnsi="宋体" w:eastAsia="宋体"/>
          <w:szCs w:val="24"/>
        </w:rPr>
        <w:t xml:space="preserve">服务</w:t>
      </w:r>
      <w:r>
        <w:rPr>
          <w:rFonts w:hint="eastAsia" w:ascii="宋体" w:hAnsi="宋体" w:eastAsia="宋体"/>
          <w:szCs w:val="24"/>
        </w:rPr>
        <w:t xml:space="preserve">：</w:t>
      </w:r>
      <w:r>
        <w:rPr>
          <w:rFonts w:ascii="宋体" w:hAnsi="宋体" w:eastAsia="宋体"/>
          <w:szCs w:val="24"/>
        </w:rPr>
        <w:t xml:space="preserve">系指本次招标采购文件规定</w:t>
      </w:r>
      <w:r>
        <w:rPr>
          <w:rFonts w:hint="eastAsia" w:ascii="宋体" w:hAnsi="宋体" w:eastAsia="宋体"/>
          <w:szCs w:val="24"/>
        </w:rPr>
        <w:t xml:space="preserve">乙</w:t>
      </w:r>
      <w:r>
        <w:rPr>
          <w:rFonts w:ascii="宋体" w:hAnsi="宋体" w:eastAsia="宋体"/>
          <w:szCs w:val="24"/>
        </w:rPr>
        <w:t xml:space="preserve">方</w:t>
      </w:r>
      <w:r>
        <w:rPr>
          <w:rFonts w:hint="eastAsia" w:ascii="宋体" w:hAnsi="宋体" w:eastAsia="宋体"/>
          <w:szCs w:val="24"/>
        </w:rPr>
        <w:t xml:space="preserve">应承担的与提供货物和服务有关的辅助服务，比如运输、保险、安装、调试、提供技术援助、培训、配合措施、维修响应及合同中规定乙方应承担的其它义务。</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10知识产权：指专利权、商标权、著作权等无形财产专有权的统称。</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11天：日历日。</w:t>
      </w:r>
      <w:r>
        <w:rPr>
          <w:rFonts w:ascii="宋体" w:hAnsi="宋体" w:eastAsia="宋体"/>
          <w:szCs w:val="24"/>
        </w:rPr>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2.12时间：除特别说明，均指北京时间。</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3地点：合同中明确约定的乙方提交的货物和服务最终到达地点。</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4合同价款：根据合同规定，乙方在正确地履行合同义务后甲方应支付乙方的价款。</w:t>
      </w:r>
      <w:r>
        <w:rPr>
          <w:rFonts w:ascii="宋体" w:hAnsi="宋体" w:eastAsia="宋体"/>
          <w:szCs w:val="24"/>
        </w:rPr>
      </w:r>
      <w:r/>
    </w:p>
    <w:p>
      <w:pPr>
        <w:pStyle w:val="748"/>
        <w:ind w:firstLine="480"/>
        <w:jc w:val="both"/>
        <w:spacing w:line="360" w:lineRule="auto"/>
        <w:widowControl/>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5产地：货物开采、生长、生产、最终制造、加工或提供服务的来源地。</w:t>
      </w:r>
      <w:r>
        <w:rPr>
          <w:rFonts w:ascii="宋体" w:hAnsi="宋体" w:eastAsia="宋体"/>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6不可抗力：不能预见、不能避免并且不能克服的客观情况。</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2.17实质响应：满足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2.18进口产品：通过中国海关报关验放进入中国境内且产自关境外的产品。</w:t>
      </w:r>
      <w:r>
        <w:rPr>
          <w:rFonts w:ascii="宋体" w:hAnsi="宋体" w:eastAsia="宋体"/>
          <w:sz w:val="24"/>
          <w:szCs w:val="24"/>
        </w:rPr>
      </w:r>
      <w:r/>
    </w:p>
    <w:p>
      <w:pPr>
        <w:pStyle w:val="723"/>
        <w:ind w:firstLine="480"/>
        <w:spacing w:line="360" w:lineRule="auto"/>
        <w:rPr>
          <w:rFonts w:ascii="宋体" w:hAnsi="宋体" w:eastAsia="宋体"/>
          <w:b/>
          <w:sz w:val="24"/>
          <w:szCs w:val="24"/>
        </w:rPr>
      </w:pPr>
      <w:r>
        <w:rPr>
          <w:rFonts w:hint="eastAsia" w:ascii="宋体" w:hAnsi="宋体" w:eastAsia="宋体"/>
          <w:sz w:val="24"/>
          <w:szCs w:val="24"/>
        </w:rPr>
        <w:t xml:space="preserve">2.19</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合同书、信件和传真等可以有形地表现所载内容的形式。</w:t>
      </w:r>
      <w:r>
        <w:rPr>
          <w:rFonts w:ascii="宋体" w:hAnsi="宋体" w:eastAsia="宋体"/>
          <w:b/>
          <w:sz w:val="24"/>
          <w:szCs w:val="24"/>
        </w:rPr>
      </w:r>
      <w:r/>
    </w:p>
    <w:p>
      <w:pPr>
        <w:pStyle w:val="723"/>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二、投标单位</w:t>
      </w:r>
      <w:r/>
    </w:p>
    <w:p>
      <w:pPr>
        <w:pStyle w:val="723"/>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合格投标单位的资格条件：</w:t>
      </w:r>
      <w:r>
        <w:rPr>
          <w:rFonts w:ascii="宋体" w:hAnsi="宋体" w:eastAsia="宋体"/>
          <w:b/>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3.1满足《中华人民共和国政府采购法》第二十二条规定：</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（1）具有独立承担民事责任的能力；</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（2）具有良好的商业信誉和健全的财务会计制度；</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（3）具有履行合同所必需的设备和专业技术能力；</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（4）有依法缴纳税收和社会保障资金的良好记录；</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（5）参加政府采购活动前三年内，在经营活动中没有重大违法记录；</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（6）法律、行政法规规定的其他条件。</w:t>
      </w:r>
      <w:r>
        <w:rPr>
          <w:rFonts w:ascii="宋体" w:hAnsi="宋体" w:eastAsia="宋体"/>
          <w:sz w:val="24"/>
          <w:szCs w:val="24"/>
        </w:rPr>
      </w:r>
      <w:r/>
    </w:p>
    <w:p>
      <w:pPr>
        <w:pStyle w:val="723"/>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sz w:val="24"/>
          <w:szCs w:val="24"/>
        </w:rPr>
        <w:t xml:space="preserve">3.2落实政府采购政策需满足的资格要求：</w:t>
      </w:r>
      <w:r>
        <w:rPr>
          <w:rFonts w:hint="eastAsia" w:ascii="宋体" w:hAnsi="宋体" w:eastAsia="宋体" w:cs="宋体"/>
          <w:bCs/>
          <w:sz w:val="24"/>
          <w:lang w:val="zh-CN" w:bidi="zh-CN"/>
        </w:rPr>
        <w:t xml:space="preserve">根据《政府采购促进中小企业发展管理办法》及《关于印发</w:t>
      </w:r>
      <w:r>
        <w:rPr>
          <w:rFonts w:ascii="宋体" w:hAnsi="宋体" w:eastAsia="宋体" w:cs="宋体"/>
          <w:bCs/>
          <w:sz w:val="24"/>
          <w:lang w:val="zh-CN" w:bidi="zh-CN"/>
        </w:rPr>
        <w:t xml:space="preserve">&lt;</w:t>
      </w:r>
      <w:r>
        <w:rPr>
          <w:rFonts w:hint="eastAsia" w:ascii="宋体" w:hAnsi="宋体" w:eastAsia="宋体" w:cs="宋体"/>
          <w:bCs/>
          <w:sz w:val="24"/>
          <w:lang w:val="zh-CN" w:bidi="zh-CN"/>
        </w:rPr>
        <w:t xml:space="preserve">苏州市政府采购促进中小企业发展实施意见</w:t>
      </w:r>
      <w:r>
        <w:rPr>
          <w:rFonts w:ascii="宋体" w:hAnsi="宋体" w:eastAsia="宋体" w:cs="宋体"/>
          <w:bCs/>
          <w:sz w:val="24"/>
          <w:lang w:val="zh-CN" w:bidi="zh-CN"/>
        </w:rPr>
        <w:t xml:space="preserve">&gt;</w:t>
      </w:r>
      <w:r>
        <w:rPr>
          <w:rFonts w:hint="eastAsia" w:ascii="宋体" w:hAnsi="宋体" w:eastAsia="宋体" w:cs="宋体"/>
          <w:bCs/>
          <w:sz w:val="24"/>
          <w:lang w:val="zh-CN" w:bidi="zh-CN"/>
        </w:rPr>
        <w:t xml:space="preserve">的通知》（苏财购〔</w:t>
      </w:r>
      <w:r>
        <w:rPr>
          <w:rFonts w:ascii="宋体" w:hAnsi="宋体" w:eastAsia="宋体" w:cs="宋体"/>
          <w:bCs/>
          <w:sz w:val="24"/>
          <w:lang w:val="zh-CN" w:bidi="zh-CN"/>
        </w:rPr>
        <w:t xml:space="preserve">2022</w:t>
      </w:r>
      <w:r>
        <w:rPr>
          <w:rFonts w:hint="eastAsia" w:ascii="宋体" w:hAnsi="宋体" w:eastAsia="宋体" w:cs="宋体"/>
          <w:bCs/>
          <w:sz w:val="24"/>
          <w:lang w:val="zh-CN" w:bidi="zh-CN"/>
        </w:rPr>
        <w:t xml:space="preserve">〕</w:t>
      </w:r>
      <w:r>
        <w:rPr>
          <w:rFonts w:ascii="宋体" w:hAnsi="宋体" w:eastAsia="宋体" w:cs="宋体"/>
          <w:bCs/>
          <w:sz w:val="24"/>
          <w:lang w:val="zh-CN" w:bidi="zh-CN"/>
        </w:rPr>
        <w:t xml:space="preserve">16</w:t>
      </w:r>
      <w:r>
        <w:rPr>
          <w:rFonts w:hint="eastAsia" w:ascii="宋体" w:hAnsi="宋体" w:eastAsia="宋体" w:cs="宋体"/>
          <w:bCs/>
          <w:sz w:val="24"/>
          <w:lang w:val="zh-CN" w:bidi="zh-CN"/>
        </w:rPr>
        <w:t xml:space="preserve">号）的相关规定，</w:t>
      </w:r>
      <w:r>
        <w:rPr>
          <w:rFonts w:hint="eastAsia" w:ascii="宋体" w:hAnsi="宋体" w:eastAsia="宋体" w:cs="宋体"/>
          <w:b/>
          <w:sz w:val="24"/>
          <w:lang w:val="zh-CN" w:bidi="zh-CN"/>
        </w:rPr>
        <w:t xml:space="preserve">本项目专门面向中小企业采购</w:t>
      </w:r>
      <w:r>
        <w:rPr>
          <w:rFonts w:hint="eastAsia" w:ascii="宋体" w:hAnsi="宋体" w:eastAsia="宋体" w:cs="宋体"/>
          <w:bCs/>
          <w:sz w:val="24"/>
          <w:lang w:val="zh-CN" w:bidi="zh-CN"/>
        </w:rPr>
        <w:t xml:space="preserve">，所属行业为批发业，中小微企业参加本项目政府采购活动在投标响应文件中需出具《中小企业声明函》（详见格式），残疾人福利性单位（监狱企业）供应商提供的残疾人福利性单位声明函（监狱企业证明文件）视同提供了中小企业声明函。</w:t>
      </w:r>
      <w:r>
        <w:rPr>
          <w:rFonts w:ascii="宋体" w:hAnsi="宋体" w:eastAsia="宋体" w:cs="宋体"/>
          <w:sz w:val="24"/>
          <w:szCs w:val="24"/>
          <w:shd w:val="clear" w:color="auto" w:fill="ffffff"/>
        </w:rPr>
      </w:r>
      <w:r/>
    </w:p>
    <w:p>
      <w:pPr>
        <w:pStyle w:val="723"/>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3.3本项目的特定资格要求：</w:t>
      </w:r>
      <w:r>
        <w:rPr>
          <w:rFonts w:ascii="宋体" w:hAnsi="宋体" w:eastAsia="宋体"/>
          <w:sz w:val="24"/>
          <w:szCs w:val="24"/>
        </w:rPr>
      </w:r>
      <w:r/>
    </w:p>
    <w:p>
      <w:pPr>
        <w:pStyle w:val="723"/>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b/>
          <w:bCs/>
          <w:sz w:val="24"/>
          <w:szCs w:val="24"/>
        </w:rPr>
        <w:t xml:space="preserve">投标单位具有有效期内的食品经营许可证。</w:t>
      </w:r>
      <w:r>
        <w:rPr>
          <w:rFonts w:hint="eastAsia" w:ascii="宋体" w:hAnsi="宋体" w:eastAsia="宋体"/>
          <w:sz w:val="24"/>
          <w:szCs w:val="24"/>
        </w:rPr>
      </w:r>
      <w:r/>
    </w:p>
    <w:p>
      <w:pPr>
        <w:pStyle w:val="723"/>
        <w:ind w:firstLine="480"/>
        <w:spacing w:line="360" w:lineRule="auto"/>
        <w:rPr>
          <w:rFonts w:hint="eastAsia" w:ascii="宋体" w:hAnsi="宋体" w:eastAsia="宋体"/>
          <w:sz w:val="24"/>
          <w:szCs w:val="24"/>
        </w:rPr>
      </w:pPr>
      <w:r>
        <w:rPr>
          <w:rFonts w:hint="eastAsia" w:ascii="宋体" w:hAnsi="宋体" w:eastAsia="宋体"/>
          <w:sz w:val="24"/>
          <w:szCs w:val="24"/>
        </w:rPr>
        <w:t xml:space="preserve">（2）未被“信用中国”网站或“中国政府采购网”网站列入失信被执行人、重大税收违法案件当事人名单、政府采购严重失信行为记录名单；</w:t>
      </w:r>
      <w:r/>
    </w:p>
    <w:p>
      <w:pPr>
        <w:pStyle w:val="723"/>
        <w:ind w:firstLine="480"/>
        <w:spacing w:line="360" w:lineRule="auto"/>
        <w:rPr>
          <w:rFonts w:hint="eastAsia" w:ascii="宋体" w:hAnsi="宋体" w:eastAsia="宋体"/>
          <w:sz w:val="24"/>
          <w:szCs w:val="24"/>
        </w:rPr>
      </w:pPr>
      <w:r>
        <w:rPr>
          <w:rFonts w:hint="eastAsia" w:ascii="宋体" w:hAnsi="宋体" w:eastAsia="宋体"/>
          <w:sz w:val="24"/>
          <w:szCs w:val="24"/>
        </w:rPr>
        <w:t xml:space="preserve">（3）本项目 不接受 (接受/不接受)联合体响应；</w:t>
      </w:r>
      <w:r/>
    </w:p>
    <w:p>
      <w:pPr>
        <w:pStyle w:val="723"/>
        <w:ind w:firstLine="480"/>
        <w:spacing w:line="360" w:lineRule="auto"/>
        <w:rPr>
          <w:rFonts w:hint="eastAsia" w:ascii="宋体" w:hAnsi="宋体" w:eastAsia="宋体"/>
          <w:sz w:val="24"/>
          <w:szCs w:val="24"/>
        </w:rPr>
      </w:pPr>
      <w:r>
        <w:rPr>
          <w:rFonts w:hint="eastAsia" w:ascii="宋体" w:hAnsi="宋体" w:eastAsia="宋体"/>
          <w:sz w:val="24"/>
          <w:szCs w:val="24"/>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pStyle w:val="723"/>
        <w:spacing w:line="360" w:lineRule="auto"/>
        <w:rPr>
          <w:rFonts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投标单位代表</w:t>
      </w:r>
      <w:r>
        <w:rPr>
          <w:rFonts w:ascii="宋体" w:hAnsi="宋体" w:eastAsia="宋体"/>
          <w:b/>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4.1</w:t>
      </w:r>
      <w:r>
        <w:rPr>
          <w:rFonts w:ascii="宋体" w:hAnsi="宋体" w:eastAsia="宋体"/>
          <w:sz w:val="24"/>
          <w:szCs w:val="24"/>
        </w:rPr>
        <w:t xml:space="preserve">指全权代表</w:t>
      </w:r>
      <w:r>
        <w:rPr>
          <w:rFonts w:hint="eastAsia" w:ascii="宋体" w:hAnsi="宋体" w:eastAsia="宋体"/>
          <w:sz w:val="24"/>
          <w:szCs w:val="24"/>
        </w:rPr>
        <w:t xml:space="preserve">投标单位</w:t>
      </w:r>
      <w:r>
        <w:rPr>
          <w:rFonts w:ascii="宋体" w:hAnsi="宋体" w:eastAsia="宋体"/>
          <w:sz w:val="24"/>
          <w:szCs w:val="24"/>
        </w:rPr>
        <w:t xml:space="preserve">参加投标活动并签署投标文件的人，如果</w:t>
      </w:r>
      <w:r>
        <w:rPr>
          <w:rFonts w:hint="eastAsia" w:ascii="宋体" w:hAnsi="宋体" w:eastAsia="宋体"/>
          <w:sz w:val="24"/>
          <w:szCs w:val="24"/>
        </w:rPr>
        <w:t xml:space="preserve">投标单位</w:t>
      </w:r>
      <w:r>
        <w:rPr>
          <w:rFonts w:ascii="宋体" w:hAnsi="宋体" w:eastAsia="宋体"/>
          <w:sz w:val="24"/>
          <w:szCs w:val="24"/>
        </w:rPr>
        <w:t xml:space="preserve">代表不是法人代表，须持有《法人代表授权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rPr>
          <w:rFonts w:ascii="宋体" w:hAnsi="宋体" w:eastAsia="宋体"/>
          <w:sz w:val="24"/>
          <w:szCs w:val="24"/>
        </w:rPr>
      </w:r>
      <w:r/>
    </w:p>
    <w:p>
      <w:pPr>
        <w:pStyle w:val="723"/>
        <w:spacing w:line="360" w:lineRule="auto"/>
        <w:rPr>
          <w:rFonts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投标费用</w:t>
      </w:r>
      <w:r>
        <w:rPr>
          <w:rFonts w:ascii="宋体" w:hAnsi="宋体" w:eastAsia="宋体"/>
          <w:b/>
          <w:sz w:val="24"/>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.1无论投标过程中的做法和结果如何，投标单位自行承担所有与参加投标有关的全部费用。</w:t>
      </w:r>
      <w:r>
        <w:rPr>
          <w:rFonts w:ascii="宋体" w:hAnsi="宋体" w:eastAsia="宋体"/>
          <w:sz w:val="24"/>
          <w:szCs w:val="24"/>
        </w:rPr>
      </w:r>
      <w:r/>
    </w:p>
    <w:p>
      <w:pPr>
        <w:pStyle w:val="723"/>
        <w:numPr>
          <w:ilvl w:val="0"/>
          <w:numId w:val="3"/>
        </w:numPr>
        <w:spacing w:line="360" w:lineRule="auto"/>
        <w:rPr>
          <w:rFonts w:hint="eastAsia" w:ascii="宋体" w:hAnsi="宋体" w:eastAsia="宋体"/>
          <w:b/>
          <w:sz w:val="24"/>
          <w:szCs w:val="24"/>
        </w:rPr>
      </w:pPr>
      <w:r>
        <w:rPr>
          <w:rFonts w:hint="eastAsia" w:ascii="宋体" w:hAnsi="宋体" w:eastAsia="宋体"/>
          <w:b/>
          <w:sz w:val="24"/>
          <w:szCs w:val="24"/>
        </w:rPr>
        <w:t xml:space="preserve">联合、进口投标及转包、分包</w:t>
      </w:r>
      <w:r/>
    </w:p>
    <w:p>
      <w:pPr>
        <w:pStyle w:val="723"/>
        <w:ind w:firstLine="480"/>
        <w:spacing w:line="360" w:lineRule="auto"/>
        <w:rPr>
          <w:rFonts w:hint="eastAsia" w:ascii="宋体" w:hAnsi="宋体" w:eastAsia="宋体"/>
          <w:sz w:val="24"/>
          <w:szCs w:val="24"/>
        </w:rPr>
      </w:pPr>
      <w:r>
        <w:rPr>
          <w:rFonts w:hint="eastAsia" w:ascii="宋体" w:hAnsi="宋体" w:eastAsia="宋体"/>
          <w:sz w:val="24"/>
          <w:szCs w:val="24"/>
        </w:rPr>
        <w:t xml:space="preserve">6.1本次招标不接受联合投标的方式；</w:t>
      </w:r>
      <w:r/>
    </w:p>
    <w:p>
      <w:pPr>
        <w:pStyle w:val="723"/>
        <w:ind w:firstLine="480"/>
        <w:spacing w:line="360" w:lineRule="auto"/>
        <w:rPr>
          <w:rFonts w:ascii="宋体" w:hAnsi="宋体" w:eastAsia="宋体"/>
          <w:b/>
          <w:sz w:val="24"/>
          <w:szCs w:val="24"/>
        </w:rPr>
      </w:pPr>
      <w:r>
        <w:rPr>
          <w:rFonts w:hint="eastAsia" w:ascii="宋体" w:hAnsi="宋体" w:eastAsia="宋体"/>
          <w:sz w:val="24"/>
          <w:szCs w:val="24"/>
        </w:rPr>
        <w:t xml:space="preserve">6.2本次招标不接受转包，投标单位根据招标文件的规定和采购项目的实际情况，拟在中标后将中标项目的非主体、非关键性工作分包的，应当在投标文件中载明分包承担主体，分包承担主体应当具备相应资质条件且不得再次分包。</w:t>
      </w:r>
      <w:r>
        <w:rPr>
          <w:rFonts w:ascii="宋体" w:hAnsi="宋体" w:eastAsia="宋体"/>
          <w:sz w:val="24"/>
          <w:szCs w:val="24"/>
        </w:rPr>
        <w:tab/>
        <w:t xml:space="preserve"> </w:t>
        <w:tab/>
      </w:r>
      <w:r>
        <w:rPr>
          <w:rFonts w:ascii="宋体" w:hAnsi="宋体" w:eastAsia="宋体"/>
          <w:b/>
          <w:sz w:val="24"/>
          <w:szCs w:val="24"/>
        </w:rPr>
      </w:r>
      <w:r/>
    </w:p>
    <w:p>
      <w:pPr>
        <w:pStyle w:val="723"/>
        <w:spacing w:line="360" w:lineRule="auto"/>
        <w:rPr>
          <w:rFonts w:ascii="宋体" w:hAnsi="宋体" w:eastAsia="宋体"/>
          <w:b/>
          <w:sz w:val="24"/>
          <w:szCs w:val="24"/>
        </w:rPr>
      </w:pPr>
      <w:r>
        <w:rPr>
          <w:rFonts w:hint="eastAsia" w:ascii="宋体" w:hAnsi="宋体" w:eastAsia="宋体"/>
          <w:b/>
          <w:sz w:val="24"/>
          <w:szCs w:val="24"/>
        </w:rPr>
        <w:t xml:space="preserve">三、招标文件的说明</w:t>
      </w:r>
      <w:r>
        <w:rPr>
          <w:rFonts w:ascii="宋体" w:hAnsi="宋体" w:eastAsia="宋体"/>
          <w:b/>
          <w:sz w:val="24"/>
          <w:szCs w:val="24"/>
        </w:rPr>
      </w:r>
      <w:r/>
    </w:p>
    <w:p>
      <w:pPr>
        <w:pStyle w:val="723"/>
        <w:spacing w:line="360" w:lineRule="auto"/>
        <w:rPr>
          <w:rFonts w:ascii="宋体" w:hAnsi="宋体" w:eastAsia="宋体"/>
          <w:b/>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招标文件</w:t>
      </w:r>
      <w:r>
        <w:rPr>
          <w:rFonts w:ascii="宋体" w:hAnsi="宋体" w:eastAsia="宋体"/>
          <w:b/>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7.1招标文件由招标文件总目录所列内容组成，投标单位应仔细检查招标文件的所有内容。投标单位同时应认真审阅招标文件中所有的事项、格式、条款和规范要求等，若投标单位的投标文件没有按招标文件要求提交全部资料，或投标文件没有对招标文件做出实质性响应，其风险由投标单位自行承担，并根据有关条款规定，该投标有可能被拒绝。</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7.2招标文件及其补充通知（包括更正公告）不是直接从苏州政府采购网上获得的，采购方或采购代理机构对招标文件及其补遗的真实性、完整性不承担任何责任。</w:t>
      </w:r>
      <w:r>
        <w:rPr>
          <w:rFonts w:ascii="宋体" w:hAnsi="宋体" w:eastAsia="宋体"/>
          <w:sz w:val="24"/>
          <w:szCs w:val="24"/>
        </w:rPr>
      </w:r>
      <w:r/>
    </w:p>
    <w:p>
      <w:pPr>
        <w:pStyle w:val="723"/>
        <w:spacing w:line="360" w:lineRule="auto"/>
        <w:rPr>
          <w:rFonts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招标文件的澄清、修改</w:t>
      </w:r>
      <w:r>
        <w:rPr>
          <w:rFonts w:ascii="宋体" w:hAnsi="宋体" w:eastAsia="宋体"/>
          <w:b/>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8.1采购方或采购代理机构无论出于自己的考虑，还是出于对投标单位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8.2澄清或者修改的内容可能影响投标文件编制的，采购方或者采购代理机构应当在投标截止时间至少15日前，并通过苏州市政府采购网对外进行发布；不足15日的，采购方或者采购代理机构应当顺延提交投标文件的截止时间。</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单位有约束力。</w:t>
      </w:r>
      <w:r>
        <w:rPr>
          <w:rFonts w:ascii="宋体" w:hAnsi="宋体" w:eastAsia="宋体"/>
          <w:sz w:val="24"/>
          <w:szCs w:val="24"/>
        </w:rPr>
      </w:r>
      <w:r/>
    </w:p>
    <w:p>
      <w:pPr>
        <w:pStyle w:val="723"/>
        <w:numPr>
          <w:ilvl w:val="0"/>
          <w:numId w:val="4"/>
        </w:numPr>
        <w:ind w:firstLine="422"/>
        <w:spacing w:line="360" w:lineRule="auto"/>
        <w:tabs>
          <w:tab w:val="left" w:pos="312" w:leader="none"/>
        </w:tabs>
        <w:rPr>
          <w:rFonts w:ascii="宋体" w:hAnsi="宋体" w:eastAsia="宋体" w:cs="宋体"/>
          <w:color w:val="000000"/>
          <w:szCs w:val="24"/>
        </w:rPr>
        <w:pBdr>
          <w:top w:val="none" w:color="000000" w:sz="0" w:space="0"/>
          <w:left w:val="none" w:color="000000" w:sz="0" w:space="0"/>
          <w:bottom w:val="none" w:color="000000" w:sz="0" w:space="0"/>
          <w:right w:val="none" w:color="000000" w:sz="0" w:space="0"/>
        </w:pBdr>
      </w:pPr>
      <w:r>
        <w:rPr>
          <w:rFonts w:hint="eastAsia" w:ascii="宋体" w:hAnsi="宋体" w:eastAsia="宋体"/>
          <w:b/>
          <w:sz w:val="24"/>
          <w:szCs w:val="24"/>
        </w:rPr>
        <w:t xml:space="preserve">现场踏勘 </w:t>
      </w:r>
      <w:r>
        <w:rPr>
          <w:rFonts w:hint="eastAsia" w:ascii="宋体" w:hAnsi="宋体" w:eastAsia="宋体"/>
          <w:sz w:val="24"/>
          <w:szCs w:val="24"/>
        </w:rPr>
        <w:t xml:space="preserve">（不涉及此条的忽略）</w:t>
      </w:r>
      <w:r>
        <w:rPr>
          <w:rFonts w:ascii="宋体" w:hAnsi="宋体" w:eastAsia="宋体" w:cs="宋体"/>
          <w:color w:val="000000"/>
          <w:szCs w:val="24"/>
        </w:rPr>
      </w:r>
      <w:r/>
    </w:p>
    <w:p>
      <w:pPr>
        <w:pStyle w:val="723"/>
        <w:ind w:firstLine="480"/>
        <w:spacing w:line="360" w:lineRule="auto"/>
        <w:rPr>
          <w:rFonts w:hint="eastAsia" w:ascii="宋体" w:hAnsi="宋体" w:eastAsia="宋体"/>
          <w:sz w:val="24"/>
          <w:szCs w:val="24"/>
        </w:rPr>
      </w:pPr>
      <w:r>
        <w:rPr>
          <w:rFonts w:hint="eastAsia" w:ascii="宋体" w:hAnsi="宋体" w:eastAsia="宋体"/>
          <w:sz w:val="24"/>
          <w:szCs w:val="24"/>
        </w:rPr>
        <w:t xml:space="preserve">9.1根据自身投标需要，投标单位可对有关现场和周围环境进行勘察，以获取编制投标文件和签署合同所需的信息。勘察现场所发生的费用由投标单位自己承担。</w:t>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9.2采购方或采购代理机构向投标单位提供的有关现场的资料和数据，是采购方或采购代理机构现有的并认为能使投标单位可利用的资料。采购方或采购代理机构对投标单位由此而做出的推论、理解和结论概不负责。</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9.3经采购方允许，投标单位可为勘察目的进入采购方的项目现场，但投标单位不得因此使采购方承担有关的责任和蒙受损失。投标单位应承担勘察现场的责任和风险。</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9.4投标单位应在现场勘察时，熟悉现场及周围交通道路等情况，以获得一切可能影响其投标的直接资料。投标单位中标后，不得以不完全了解现场情况为理由而向采购方或采购代理机构提出任何索赔的要求，对此采购方或采购代理机构不承担任何责任并将不作任何答复与考虑。</w:t>
      </w:r>
      <w:r>
        <w:rPr>
          <w:rFonts w:ascii="宋体" w:hAnsi="宋体" w:eastAsia="宋体"/>
          <w:sz w:val="24"/>
          <w:szCs w:val="24"/>
        </w:rPr>
      </w:r>
      <w:r/>
    </w:p>
    <w:p>
      <w:pPr>
        <w:pStyle w:val="723"/>
        <w:spacing w:line="360" w:lineRule="auto"/>
        <w:rPr>
          <w:rFonts w:ascii="宋体" w:hAnsi="宋体" w:eastAsia="宋体"/>
          <w:b/>
          <w:sz w:val="24"/>
          <w:szCs w:val="24"/>
        </w:rPr>
      </w:pPr>
      <w:r>
        <w:rPr>
          <w:rFonts w:hint="eastAsia" w:ascii="宋体" w:hAnsi="宋体" w:eastAsia="宋体"/>
          <w:b/>
          <w:sz w:val="24"/>
          <w:szCs w:val="24"/>
        </w:rPr>
        <w:t xml:space="preserve">10.投标质疑</w:t>
      </w:r>
      <w:r>
        <w:rPr>
          <w:rFonts w:ascii="宋体" w:hAnsi="宋体" w:eastAsia="宋体"/>
          <w:b/>
          <w:sz w:val="24"/>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单位书面质疑后7个工作日内作出答复。</w:t>
      </w:r>
      <w:r>
        <w:rPr>
          <w:rFonts w:ascii="宋体" w:hAnsi="宋体" w:eastAsia="宋体"/>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10.2根据《政府采购质疑和投诉办法》财政部第94号令第十一条规定，提出质疑的供应商应当是参与所质疑项目采购活动的供应商。因此凡是对采购文件提出质疑的供应商，必须依法获取采购文件，并请将符合资格条件的证明材料及网上报名的报名页面材料与质疑函一起递交，否则不予受理。</w:t>
      </w:r>
      <w:r>
        <w:rPr>
          <w:rFonts w:ascii="宋体" w:hAnsi="宋体" w:eastAsia="宋体"/>
          <w:sz w:val="24"/>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1</w:t>
      </w:r>
      <w:r>
        <w:rPr>
          <w:rFonts w:ascii="宋体" w:hAnsi="宋体" w:eastAsia="宋体"/>
          <w:szCs w:val="24"/>
        </w:rPr>
        <w:t xml:space="preserve">0.3</w:t>
      </w:r>
      <w:r>
        <w:rPr>
          <w:rFonts w:hint="eastAsia" w:ascii="宋体" w:hAnsi="宋体" w:eastAsia="宋体"/>
          <w:szCs w:val="24"/>
        </w:rPr>
        <w:t xml:space="preserve">本次招标文件要求供应商在法定质疑期内一次性提出针对同一采购程序环节的质疑，否则不予受理。</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10.</w:t>
      </w:r>
      <w:r>
        <w:rPr>
          <w:rFonts w:ascii="宋体" w:hAnsi="宋体" w:eastAsia="宋体"/>
          <w:szCs w:val="24"/>
        </w:rPr>
        <w:t xml:space="preserve">4</w:t>
      </w:r>
      <w:r>
        <w:rPr>
          <w:rFonts w:hint="eastAsia" w:ascii="宋体" w:hAnsi="宋体" w:eastAsia="宋体"/>
          <w:szCs w:val="24"/>
        </w:rPr>
        <w:t xml:space="preserve">供应商提出质疑应当提交质疑函和必要的证明材料，质疑函应当包括下列内容：</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（1）供应商的姓名或者名称（以提供的营业执照副本复印件为准）、地址、邮编、联系人及联系电话；</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（2）质疑项目的名称、编号；</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（3）具体、明确的质疑事项和与质疑事项相关的请求；</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（4）事实依据；</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（5）必要的法律依据；</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（6）提出质疑的日期。</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rPr>
        <w:t xml:space="preserve">授权委托书</w:t>
      </w:r>
      <w:r>
        <w:rPr>
          <w:rFonts w:hint="eastAsia" w:ascii="宋体" w:hAnsi="宋体" w:eastAsia="宋体"/>
          <w:szCs w:val="24"/>
        </w:rPr>
        <w:t xml:space="preserve">上应当载明代理人的姓名或者名称、代理事项、具体权限、期限和相关事项。</w:t>
      </w:r>
      <w:r>
        <w:rPr>
          <w:rFonts w:ascii="宋体" w:hAnsi="宋体" w:eastAsia="宋体"/>
          <w:szCs w:val="24"/>
        </w:rPr>
      </w:r>
      <w:r/>
    </w:p>
    <w:p>
      <w:pPr>
        <w:pStyle w:val="748"/>
        <w:ind w:firstLine="48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w:t>
      </w:r>
      <w:r>
        <w:rPr>
          <w:rFonts w:ascii="宋体" w:hAnsi="宋体" w:eastAsia="宋体"/>
          <w:b/>
          <w:szCs w:val="24"/>
        </w:rPr>
        <w:t xml:space="preserve">https://czju.suzhou.gov.cn/zfcg/html/content/20180305093615738.shtml</w:t>
      </w:r>
      <w:r>
        <w:rPr>
          <w:rFonts w:hint="eastAsia" w:ascii="宋体" w:hAnsi="宋体" w:eastAsia="宋体"/>
          <w:szCs w:val="24"/>
        </w:rPr>
        <w:t xml:space="preserve">。</w:t>
      </w:r>
      <w:r>
        <w:rPr>
          <w:rFonts w:ascii="宋体" w:hAnsi="宋体" w:eastAsia="宋体"/>
          <w:b/>
          <w:szCs w:val="24"/>
        </w:rPr>
      </w:r>
      <w:r/>
    </w:p>
    <w:p>
      <w:pPr>
        <w:pStyle w:val="748"/>
        <w:ind w:firstLine="480"/>
        <w:spacing w:line="360" w:lineRule="auto"/>
        <w:rPr>
          <w:rFonts w:ascii="宋体" w:hAnsi="宋体" w:eastAsia="宋体"/>
          <w:b/>
          <w:szCs w:val="24"/>
        </w:rPr>
      </w:pPr>
      <w:r>
        <w:rPr>
          <w:rFonts w:hint="eastAsia" w:ascii="宋体" w:hAnsi="宋体" w:eastAsia="宋体"/>
          <w:szCs w:val="24"/>
        </w:rPr>
        <w:t xml:space="preserve">10.</w:t>
      </w:r>
      <w:r>
        <w:rPr>
          <w:rFonts w:ascii="宋体" w:hAnsi="宋体" w:eastAsia="宋体"/>
          <w:szCs w:val="24"/>
        </w:rPr>
        <w:t xml:space="preserve">5</w:t>
      </w:r>
      <w:r>
        <w:rPr>
          <w:rFonts w:hint="eastAsia" w:ascii="宋体" w:hAnsi="宋体" w:eastAsia="宋体"/>
          <w:szCs w:val="24"/>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）与质疑函一起递交，否则不予受理。</w:t>
      </w:r>
      <w:r>
        <w:rPr>
          <w:rFonts w:ascii="宋体" w:hAnsi="宋体" w:eastAsia="宋体"/>
          <w:b/>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10.</w:t>
      </w:r>
      <w:r>
        <w:rPr>
          <w:rFonts w:ascii="宋体" w:hAnsi="宋体" w:eastAsia="宋体"/>
          <w:szCs w:val="24"/>
        </w:rPr>
        <w:t xml:space="preserve">6</w:t>
      </w:r>
      <w:r>
        <w:rPr>
          <w:rFonts w:hint="eastAsia" w:ascii="宋体" w:hAnsi="宋体" w:eastAsia="宋体"/>
          <w:szCs w:val="24"/>
        </w:rPr>
        <w:t xml:space="preserve">接收质疑函的方式：书面形式（当场送达或邮寄方式）。</w:t>
      </w:r>
      <w:r>
        <w:rPr>
          <w:rFonts w:ascii="宋体" w:hAnsi="宋体" w:eastAsia="宋体"/>
          <w:szCs w:val="24"/>
        </w:rPr>
      </w:r>
      <w:r/>
    </w:p>
    <w:p>
      <w:pPr>
        <w:pStyle w:val="748"/>
        <w:ind w:firstLine="480"/>
        <w:spacing w:line="360" w:lineRule="auto"/>
        <w:rPr>
          <w:rFonts w:ascii="宋体" w:hAnsi="宋体" w:eastAsia="宋体" w:cs="宋体"/>
          <w:szCs w:val="24"/>
        </w:rPr>
      </w:pPr>
      <w:r>
        <w:rPr>
          <w:rFonts w:hint="eastAsia" w:ascii="宋体" w:hAnsi="宋体" w:eastAsia="宋体" w:cs="宋体"/>
          <w:szCs w:val="24"/>
        </w:rPr>
        <w:t xml:space="preserve">质疑联系人：吴极</w:t>
      </w:r>
      <w:r>
        <w:rPr>
          <w:rFonts w:ascii="宋体" w:hAnsi="宋体" w:eastAsia="宋体" w:cs="宋体"/>
          <w:szCs w:val="24"/>
        </w:rPr>
      </w:r>
      <w:r/>
    </w:p>
    <w:p>
      <w:pPr>
        <w:pStyle w:val="748"/>
        <w:ind w:firstLine="480"/>
        <w:spacing w:line="360" w:lineRule="auto"/>
        <w:rPr>
          <w:rFonts w:ascii="宋体" w:hAnsi="宋体" w:eastAsia="宋体" w:cs="宋体"/>
          <w:szCs w:val="24"/>
        </w:rPr>
      </w:pPr>
      <w:r>
        <w:rPr>
          <w:rFonts w:hint="eastAsia" w:ascii="宋体" w:hAnsi="宋体" w:eastAsia="宋体" w:cs="宋体"/>
          <w:szCs w:val="24"/>
        </w:rPr>
        <w:t xml:space="preserve">联系电话：</w:t>
      </w:r>
      <w:r>
        <w:rPr>
          <w:rFonts w:hint="eastAsia" w:ascii="宋体" w:hAnsi="宋体" w:eastAsia="宋体"/>
          <w:color w:val="000000"/>
          <w:szCs w:val="24"/>
        </w:rPr>
        <w:t xml:space="preserve">0512-6598159</w:t>
      </w:r>
      <w:r>
        <w:rPr>
          <w:rFonts w:ascii="宋体" w:hAnsi="宋体" w:eastAsia="宋体"/>
          <w:color w:val="000000"/>
          <w:szCs w:val="24"/>
        </w:rPr>
        <w:t xml:space="preserve">6</w:t>
      </w:r>
      <w:r>
        <w:rPr>
          <w:rFonts w:hint="eastAsia" w:ascii="宋体" w:hAnsi="宋体" w:eastAsia="宋体"/>
          <w:color w:val="000000"/>
          <w:szCs w:val="24"/>
        </w:rPr>
        <w:t xml:space="preserve">-81</w:t>
      </w:r>
      <w:r>
        <w:rPr>
          <w:rFonts w:ascii="宋体" w:hAnsi="宋体" w:eastAsia="宋体"/>
          <w:color w:val="000000"/>
          <w:szCs w:val="24"/>
        </w:rPr>
        <w:t xml:space="preserve">22</w:t>
      </w:r>
      <w:r>
        <w:rPr>
          <w:rFonts w:ascii="宋体" w:hAnsi="宋体" w:eastAsia="宋体" w:cs="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现场递交/邮寄收取地址：</w:t>
      </w:r>
      <w:r>
        <w:rPr>
          <w:rFonts w:hint="eastAsia" w:ascii="宋体" w:hAnsi="宋体" w:eastAsia="宋体" w:cs="宋体"/>
          <w:szCs w:val="24"/>
        </w:rPr>
        <w:t xml:space="preserve">苏州市相城区嘉元路1018号元联大厦10层</w:t>
      </w:r>
      <w:r>
        <w:rPr>
          <w:rFonts w:ascii="宋体" w:hAnsi="宋体" w:eastAsia="宋体"/>
          <w:szCs w:val="24"/>
        </w:rPr>
      </w:r>
      <w:r/>
    </w:p>
    <w:p>
      <w:pPr>
        <w:pStyle w:val="723"/>
        <w:spacing w:line="360" w:lineRule="auto"/>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1</w:t>
      </w:r>
      <w:r>
        <w:rPr>
          <w:rFonts w:hint="eastAsia" w:ascii="宋体" w:hAnsi="宋体" w:eastAsia="宋体"/>
          <w:b/>
          <w:sz w:val="24"/>
          <w:szCs w:val="24"/>
        </w:rPr>
        <w:t xml:space="preserve">.提示与要求</w:t>
      </w:r>
      <w:r>
        <w:rPr>
          <w:rFonts w:ascii="宋体" w:hAnsi="宋体" w:eastAsia="宋体"/>
          <w:b/>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.1</w:t>
      </w:r>
      <w:r>
        <w:rPr>
          <w:rFonts w:ascii="宋体" w:hAnsi="宋体" w:eastAsia="宋体"/>
          <w:sz w:val="24"/>
          <w:szCs w:val="24"/>
        </w:rPr>
        <w:t xml:space="preserve">投标</w:t>
      </w:r>
      <w:r>
        <w:rPr>
          <w:rFonts w:hint="eastAsia" w:ascii="宋体" w:hAnsi="宋体" w:eastAsia="宋体"/>
          <w:sz w:val="24"/>
          <w:szCs w:val="24"/>
        </w:rPr>
        <w:t xml:space="preserve">单位</w:t>
      </w:r>
      <w:r>
        <w:rPr>
          <w:rFonts w:ascii="宋体" w:hAnsi="宋体" w:eastAsia="宋体"/>
          <w:sz w:val="24"/>
          <w:szCs w:val="24"/>
        </w:rPr>
        <w:t xml:space="preserve">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sz w:val="24"/>
          <w:szCs w:val="24"/>
        </w:rPr>
        <w:t xml:space="preserve">。</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.2无论是否递交投标文件，投标单位都应将招标文件及以后的所有通知、文件等视为保密文件。</w:t>
      </w:r>
      <w:r>
        <w:rPr>
          <w:rFonts w:ascii="宋体" w:hAnsi="宋体" w:eastAsia="宋体"/>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12.</w:t>
      </w:r>
      <w:r>
        <w:rPr>
          <w:rFonts w:hint="eastAsia" w:ascii="宋体" w:hAnsi="宋体" w:eastAsia="宋体"/>
          <w:b/>
          <w:sz w:val="24"/>
          <w:szCs w:val="24"/>
        </w:rPr>
        <w:t xml:space="preserve">投标文件计量单位和使用文字</w:t>
      </w:r>
      <w:r>
        <w:rPr>
          <w:rFonts w:ascii="宋体" w:hAnsi="宋体" w:eastAsia="宋体"/>
          <w:b/>
          <w:sz w:val="24"/>
          <w:szCs w:val="24"/>
        </w:rPr>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1</w:t>
      </w:r>
      <w:r>
        <w:rPr>
          <w:rFonts w:ascii="宋体" w:hAnsi="宋体" w:eastAsia="宋体"/>
          <w:szCs w:val="24"/>
        </w:rPr>
        <w:t xml:space="preserve">2</w:t>
      </w:r>
      <w:r>
        <w:rPr>
          <w:rFonts w:hint="eastAsia" w:ascii="宋体" w:hAnsi="宋体" w:eastAsia="宋体"/>
          <w:szCs w:val="24"/>
        </w:rPr>
        <w:t xml:space="preserve">.1投标文件中所使用的计量单位，除招标文件中有特殊要求外，均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rPr>
          <w:rFonts w:ascii="宋体" w:hAnsi="宋体" w:eastAsia="宋体"/>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rPr>
          <w:rFonts w:hint="eastAsia" w:ascii="宋体" w:hAnsi="宋体" w:eastAsia="宋体"/>
          <w:sz w:val="24"/>
          <w:szCs w:val="24"/>
        </w:rPr>
        <w:t xml:space="preserve">.2投标文件应使用中文编制，投标文件中必须使用其他文字的，必须附有中文译本。对于未附有中文译本和中文译本不准确的投标文件可能引起的对投标单位不利的后果，采购方或采购代理机构概不负责。</w:t>
      </w:r>
      <w:r>
        <w:rPr>
          <w:rFonts w:ascii="宋体" w:hAnsi="宋体" w:eastAsia="宋体"/>
          <w:sz w:val="24"/>
          <w:szCs w:val="24"/>
        </w:rPr>
      </w:r>
      <w:r/>
    </w:p>
    <w:p>
      <w:pPr>
        <w:pStyle w:val="723"/>
        <w:spacing w:line="360" w:lineRule="auto"/>
        <w:rPr>
          <w:rFonts w:ascii="宋体" w:hAnsi="宋体" w:eastAsia="宋体"/>
          <w:b/>
          <w:sz w:val="24"/>
          <w:szCs w:val="24"/>
        </w:rPr>
        <w:outlineLvl w:val="1"/>
      </w:pPr>
      <w:r>
        <w:rPr>
          <w:rFonts w:ascii="宋体" w:hAnsi="宋体" w:eastAsia="宋体"/>
          <w:b/>
          <w:sz w:val="24"/>
          <w:szCs w:val="24"/>
        </w:rPr>
        <w:t xml:space="preserve">13.</w:t>
      </w:r>
      <w:r>
        <w:rPr>
          <w:rFonts w:hint="eastAsia" w:ascii="宋体" w:hAnsi="宋体" w:eastAsia="宋体"/>
          <w:b/>
          <w:sz w:val="24"/>
          <w:szCs w:val="24"/>
        </w:rPr>
        <w:t xml:space="preserve">投标文件的组成</w:t>
      </w:r>
      <w:r>
        <w:rPr>
          <w:rFonts w:ascii="宋体" w:hAnsi="宋体" w:eastAsia="宋体"/>
          <w:b/>
          <w:sz w:val="24"/>
          <w:szCs w:val="24"/>
        </w:rPr>
      </w:r>
      <w:r/>
    </w:p>
    <w:p>
      <w:pPr>
        <w:pStyle w:val="723"/>
        <w:ind w:firstLine="482"/>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.1</w:t>
      </w:r>
      <w:r>
        <w:rPr>
          <w:rFonts w:hint="eastAsia" w:ascii="宋体" w:hAnsi="宋体" w:eastAsia="宋体"/>
          <w:b/>
          <w:sz w:val="24"/>
          <w:szCs w:val="24"/>
        </w:rPr>
        <w:t xml:space="preserve">封面</w:t>
      </w:r>
      <w:r>
        <w:rPr>
          <w:rFonts w:ascii="宋体" w:hAnsi="宋体" w:eastAsia="宋体"/>
          <w:b/>
          <w:sz w:val="24"/>
          <w:szCs w:val="24"/>
        </w:rPr>
      </w:r>
      <w:r/>
    </w:p>
    <w:p>
      <w:pPr>
        <w:pStyle w:val="723"/>
        <w:ind w:firstLine="482"/>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w:t>
      </w:r>
      <w:r>
        <w:rPr>
          <w:rFonts w:hint="eastAsia" w:ascii="宋体" w:hAnsi="宋体" w:eastAsia="宋体"/>
          <w:b/>
          <w:sz w:val="24"/>
          <w:szCs w:val="24"/>
        </w:rPr>
        <w:t xml:space="preserve">2开标一览表</w:t>
      </w:r>
      <w:r>
        <w:rPr>
          <w:rFonts w:ascii="宋体" w:hAnsi="宋体" w:eastAsia="宋体"/>
          <w:b/>
          <w:sz w:val="24"/>
          <w:szCs w:val="24"/>
        </w:rPr>
      </w:r>
      <w:r/>
    </w:p>
    <w:p>
      <w:pPr>
        <w:pStyle w:val="723"/>
        <w:ind w:firstLine="482"/>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w:t>
      </w:r>
      <w:r>
        <w:rPr>
          <w:rFonts w:hint="eastAsia" w:ascii="宋体" w:hAnsi="宋体" w:eastAsia="宋体"/>
          <w:b/>
          <w:sz w:val="24"/>
          <w:szCs w:val="24"/>
        </w:rPr>
        <w:t xml:space="preserve">3资格审查文件</w:t>
      </w:r>
      <w:r>
        <w:rPr>
          <w:rFonts w:ascii="宋体" w:hAnsi="宋体" w:eastAsia="宋体"/>
          <w:b/>
          <w:sz w:val="24"/>
          <w:szCs w:val="24"/>
        </w:rPr>
      </w:r>
      <w:r/>
    </w:p>
    <w:p>
      <w:pPr>
        <w:pStyle w:val="748"/>
        <w:ind w:firstLine="480"/>
        <w:spacing w:line="360" w:lineRule="auto"/>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3.1关于资格文件的声明函、投标函（格式见第三章）；</w:t>
      </w:r>
      <w:r>
        <w:rPr>
          <w:rFonts w:ascii="宋体" w:hAnsi="宋体" w:eastAsia="宋体"/>
          <w:szCs w:val="24"/>
        </w:rPr>
      </w:r>
      <w:r/>
    </w:p>
    <w:p>
      <w:pPr>
        <w:pStyle w:val="748"/>
        <w:ind w:firstLine="480"/>
        <w:spacing w:line="360" w:lineRule="auto"/>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3.2投标单位基本情况表（格式见第三章）；</w:t>
      </w:r>
      <w:r>
        <w:rPr>
          <w:rFonts w:ascii="宋体" w:hAnsi="宋体" w:eastAsia="宋体"/>
          <w:szCs w:val="24"/>
        </w:rPr>
      </w:r>
      <w:r/>
    </w:p>
    <w:p>
      <w:pPr>
        <w:pStyle w:val="748"/>
        <w:ind w:firstLine="480"/>
        <w:spacing w:line="360" w:lineRule="auto"/>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3.3投标单位法定代表人身份证复印件；</w:t>
      </w:r>
      <w:r>
        <w:rPr>
          <w:rFonts w:ascii="宋体" w:hAnsi="宋体" w:eastAsia="宋体"/>
          <w:szCs w:val="24"/>
        </w:rPr>
      </w:r>
      <w:r/>
    </w:p>
    <w:p>
      <w:pPr>
        <w:pStyle w:val="748"/>
        <w:ind w:firstLine="480"/>
        <w:spacing w:line="360" w:lineRule="auto"/>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3.4法定代表人授权委托书（如有授权，格式见第三章）；</w:t>
      </w:r>
      <w:r>
        <w:rPr>
          <w:rFonts w:ascii="宋体" w:hAnsi="宋体" w:eastAsia="宋体"/>
          <w:szCs w:val="24"/>
        </w:rPr>
      </w:r>
      <w:r/>
    </w:p>
    <w:p>
      <w:pPr>
        <w:pStyle w:val="748"/>
        <w:ind w:firstLine="480"/>
        <w:spacing w:line="360" w:lineRule="auto"/>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3.5投标单位授权代理人身份证复印件（如有授权）；</w:t>
      </w:r>
      <w:r>
        <w:rPr>
          <w:rFonts w:ascii="宋体" w:hAnsi="宋体" w:eastAsia="宋体"/>
          <w:szCs w:val="24"/>
        </w:rPr>
      </w:r>
      <w:r/>
    </w:p>
    <w:p>
      <w:pPr>
        <w:pStyle w:val="748"/>
        <w:ind w:firstLine="480"/>
        <w:spacing w:line="360" w:lineRule="auto"/>
        <w:tabs>
          <w:tab w:val="left" w:pos="0" w:leader="none"/>
        </w:tabs>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3.6合格投标单位资格证明材料：</w:t>
      </w:r>
      <w:r>
        <w:rPr>
          <w:rFonts w:ascii="宋体" w:hAnsi="宋体" w:eastAsia="宋体"/>
          <w:szCs w:val="24"/>
        </w:rPr>
      </w:r>
      <w:r/>
    </w:p>
    <w:p>
      <w:pPr>
        <w:pStyle w:val="806"/>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（1）具有独立承担民事责任的能力证明。包括法人或者其他组织的营业执照等证明文件，自然人的身份证明；</w:t>
      </w:r>
      <w:r>
        <w:rPr>
          <w:rFonts w:ascii="宋体" w:hAnsi="宋体" w:eastAsia="宋体" w:cs="宋体"/>
          <w:szCs w:val="24"/>
        </w:rPr>
      </w:r>
      <w:r/>
    </w:p>
    <w:p>
      <w:pPr>
        <w:pStyle w:val="806"/>
        <w:ind w:firstLine="480"/>
        <w:spacing w:before="0" w:beforeAutospacing="0" w:after="0" w:afterAutospacing="0" w:line="360" w:lineRule="auto"/>
        <w:rPr>
          <w:rFonts w:ascii="宋体" w:hAnsi="宋体" w:eastAsia="宋体" w:cs="宋体"/>
          <w:b/>
          <w:szCs w:val="24"/>
        </w:rPr>
      </w:pPr>
      <w:r>
        <w:rPr>
          <w:rFonts w:hint="eastAsia" w:ascii="宋体" w:hAnsi="宋体" w:eastAsia="宋体" w:cs="宋体"/>
          <w:szCs w:val="24"/>
        </w:rPr>
        <w:t xml:space="preserve">（2）具有良好的商业信誉和健全的财务会计制度证明</w:t>
      </w:r>
      <w:r>
        <w:rPr>
          <w:rFonts w:hint="eastAsia" w:ascii="宋体" w:hAnsi="宋体" w:eastAsia="宋体" w:cs="宋体"/>
          <w:b/>
          <w:szCs w:val="24"/>
        </w:rPr>
        <w:t xml:space="preserve">（包括但不限于最近一期经审计的财务报告复印件，其他组织、自然人及成立未满一年的法人应提供银行出具的资信证明）；</w:t>
      </w:r>
      <w:r>
        <w:rPr>
          <w:rFonts w:ascii="宋体" w:hAnsi="宋体" w:eastAsia="宋体" w:cs="宋体"/>
          <w:b/>
          <w:szCs w:val="24"/>
        </w:rPr>
      </w:r>
      <w:r/>
    </w:p>
    <w:p>
      <w:pPr>
        <w:pStyle w:val="806"/>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（3）具备履行合同所必需的设备和专业技术能力的证明材料或承诺；</w:t>
      </w:r>
      <w:r>
        <w:rPr>
          <w:rFonts w:ascii="宋体" w:hAnsi="宋体" w:eastAsia="宋体" w:cs="宋体"/>
          <w:szCs w:val="24"/>
        </w:rPr>
      </w:r>
      <w:r/>
    </w:p>
    <w:p>
      <w:pPr>
        <w:pStyle w:val="748"/>
        <w:ind w:firstLine="480"/>
        <w:spacing w:line="360" w:lineRule="auto"/>
        <w:tabs>
          <w:tab w:val="left" w:pos="0" w:leader="none"/>
        </w:tabs>
        <w:rPr>
          <w:rFonts w:ascii="宋体" w:hAnsi="宋体" w:eastAsia="宋体"/>
          <w:szCs w:val="24"/>
        </w:rPr>
      </w:pPr>
      <w:r>
        <w:rPr>
          <w:rFonts w:hint="eastAsia" w:ascii="宋体" w:hAnsi="宋体" w:eastAsia="宋体"/>
          <w:szCs w:val="24"/>
        </w:rPr>
        <w:t xml:space="preserve">（4）依法缴纳税收和社会保障资金的相关资料</w:t>
      </w:r>
      <w:r>
        <w:rPr>
          <w:rFonts w:hint="eastAsia" w:ascii="宋体" w:hAnsi="宋体" w:eastAsia="宋体"/>
          <w:b/>
          <w:szCs w:val="24"/>
        </w:rPr>
        <w:t xml:space="preserve">（投标单位应提供提交投标文件截止时间前一年内至少一个月依法缴纳税收及缴纳社会保障资金的证明材料，如相关主管部门证明或银行代扣证明。投标单位如依法享受缓缴、免缴税收、社会保障资金的应提供相关主管部门出具的证明材料）</w:t>
      </w:r>
      <w:r>
        <w:rPr>
          <w:rFonts w:hint="eastAsia" w:ascii="宋体" w:hAnsi="宋体" w:eastAsia="宋体"/>
          <w:szCs w:val="24"/>
        </w:rPr>
        <w:t xml:space="preserve">；</w:t>
      </w:r>
      <w:r>
        <w:rPr>
          <w:rFonts w:ascii="宋体" w:hAnsi="宋体" w:eastAsia="宋体"/>
          <w:szCs w:val="24"/>
        </w:rPr>
      </w:r>
      <w:r/>
    </w:p>
    <w:p>
      <w:pPr>
        <w:pStyle w:val="748"/>
        <w:ind w:firstLine="480"/>
        <w:spacing w:line="360" w:lineRule="auto"/>
        <w:tabs>
          <w:tab w:val="left" w:pos="0" w:leader="none"/>
        </w:tabs>
        <w:rPr>
          <w:rFonts w:hint="eastAsia" w:ascii="宋体" w:hAnsi="宋体" w:eastAsia="宋体"/>
          <w:szCs w:val="24"/>
        </w:rPr>
      </w:pPr>
      <w:r>
        <w:rPr>
          <w:rFonts w:hint="eastAsia" w:ascii="宋体" w:hAnsi="宋体" w:eastAsia="宋体"/>
          <w:szCs w:val="24"/>
        </w:rPr>
        <w:t xml:space="preserve">（5）参加政府采购活动前三年内在经营活动中没有重大违法记录的书面声明函。</w:t>
      </w:r>
      <w:r/>
    </w:p>
    <w:p>
      <w:pPr>
        <w:pStyle w:val="748"/>
        <w:ind w:firstLine="480"/>
        <w:spacing w:line="360" w:lineRule="auto"/>
        <w:tabs>
          <w:tab w:val="left" w:pos="0" w:leader="none"/>
        </w:tabs>
        <w:rPr>
          <w:rFonts w:hint="eastAsia" w:ascii="宋体" w:hAnsi="宋体" w:eastAsia="宋体"/>
          <w:szCs w:val="24"/>
        </w:rPr>
      </w:pPr>
      <w:r>
        <w:rPr>
          <w:rFonts w:hint="eastAsia" w:ascii="宋体" w:hAnsi="宋体" w:eastAsia="宋体"/>
          <w:szCs w:val="24"/>
        </w:rPr>
        <w:t xml:space="preserve">13.3.7落实政府采购政策需满足的资格要求：《中小企业声明函》或《残疾人福利性单位声明函》或省级以上监狱管理局、戒毒管理局（含新疆生产建设兵团）出具的属于监狱企业的证明文件（</w:t>
      </w:r>
      <w:r>
        <w:rPr>
          <w:rFonts w:hint="eastAsia" w:ascii="宋体" w:hAnsi="宋体" w:eastAsia="宋体"/>
          <w:b/>
          <w:bCs/>
          <w:szCs w:val="24"/>
        </w:rPr>
        <w:t xml:space="preserve">本项目专门面向中小企业采购</w:t>
      </w:r>
      <w:r>
        <w:rPr>
          <w:rFonts w:hint="eastAsia" w:ascii="宋体" w:hAnsi="宋体" w:eastAsia="宋体"/>
          <w:szCs w:val="24"/>
        </w:rPr>
        <w:t xml:space="preserve">。投标单位必须为中小微企业或残疾人福利性单位或监狱企业，并在投标文件中提供相关声明函或监狱企业证明文件，否则为无效投标）</w:t>
      </w:r>
      <w:r/>
    </w:p>
    <w:p>
      <w:pPr>
        <w:pStyle w:val="748"/>
        <w:ind w:firstLine="480"/>
        <w:spacing w:line="360" w:lineRule="auto"/>
        <w:tabs>
          <w:tab w:val="left" w:pos="0" w:leader="none"/>
        </w:tabs>
        <w:rPr>
          <w:rFonts w:hint="eastAsia" w:ascii="宋体" w:hAnsi="宋体" w:eastAsia="宋体"/>
          <w:szCs w:val="24"/>
        </w:rPr>
      </w:pPr>
      <w:r>
        <w:rPr>
          <w:rFonts w:hint="eastAsia" w:ascii="宋体" w:hAnsi="宋体" w:eastAsia="宋体"/>
          <w:szCs w:val="24"/>
        </w:rPr>
        <w:t xml:space="preserve">13.3.8</w:t>
      </w:r>
      <w:r>
        <w:rPr>
          <w:rFonts w:hint="eastAsia" w:ascii="宋体" w:hAnsi="宋体" w:eastAsia="宋体"/>
          <w:b/>
          <w:bCs/>
          <w:szCs w:val="24"/>
        </w:rPr>
        <w:t xml:space="preserve">有效期内的《食品经营许可证》</w:t>
      </w:r>
      <w:r>
        <w:rPr>
          <w:rFonts w:hint="eastAsia" w:ascii="宋体" w:hAnsi="宋体" w:eastAsia="宋体"/>
          <w:szCs w:val="24"/>
        </w:rPr>
        <w:t xml:space="preserve">；</w:t>
      </w:r>
      <w:r/>
    </w:p>
    <w:p>
      <w:pPr>
        <w:pStyle w:val="748"/>
        <w:ind w:firstLine="480"/>
        <w:spacing w:line="360" w:lineRule="auto"/>
        <w:tabs>
          <w:tab w:val="left" w:pos="0" w:leader="none"/>
        </w:tabs>
        <w:rPr>
          <w:rFonts w:hint="eastAsia" w:ascii="宋体" w:hAnsi="宋体" w:eastAsia="宋体"/>
          <w:szCs w:val="24"/>
        </w:rPr>
      </w:pPr>
      <w:r>
        <w:rPr>
          <w:rFonts w:hint="eastAsia" w:ascii="宋体" w:hAnsi="宋体" w:eastAsia="宋体" w:cs="宋体"/>
          <w:color w:val="000000"/>
          <w:szCs w:val="24"/>
        </w:rPr>
        <w:t xml:space="preserve">13.3.9未被“信用中国”网站（www.creditchina.gov.cn）列入失信被执行人、重大税收违法案件当事人名单、政府采购严重失信行为记录名单，提供通过“信用中国”网站渠道查询企业信用记录的网页截图</w:t>
      </w:r>
      <w:r>
        <w:rPr>
          <w:rFonts w:ascii="宋体" w:hAnsi="宋体" w:eastAsia="宋体" w:cs="宋体"/>
          <w:color w:val="000000"/>
          <w:szCs w:val="24"/>
        </w:rPr>
        <w:t xml:space="preserve">；</w:t>
      </w:r>
      <w:r>
        <w:rPr>
          <w:rFonts w:hint="eastAsia" w:ascii="宋体" w:hAnsi="宋体" w:eastAsia="宋体"/>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t xml:space="preserve">13.</w:t>
      </w:r>
      <w:r>
        <w:rPr>
          <w:rFonts w:hint="eastAsia" w:ascii="宋体" w:hAnsi="宋体" w:eastAsia="宋体"/>
          <w:szCs w:val="24"/>
        </w:rPr>
        <w:t xml:space="preserve">3</w:t>
      </w:r>
      <w:r>
        <w:rPr>
          <w:rFonts w:hint="eastAsia" w:ascii="宋体" w:hAnsi="宋体" w:eastAsia="宋体"/>
          <w:sz w:val="24"/>
          <w:szCs w:val="24"/>
        </w:rPr>
        <w:t xml:space="preserve">.10其它有关资格证明文件；</w:t>
      </w:r>
      <w:r>
        <w:rPr>
          <w:rFonts w:ascii="宋体" w:hAnsi="宋体" w:eastAsia="宋体"/>
          <w:sz w:val="24"/>
          <w:szCs w:val="24"/>
        </w:rPr>
      </w:r>
      <w:r/>
    </w:p>
    <w:p>
      <w:pPr>
        <w:pStyle w:val="723"/>
        <w:ind w:firstLine="482"/>
        <w:spacing w:line="360" w:lineRule="auto"/>
        <w:rPr>
          <w:rFonts w:ascii="宋体" w:hAnsi="宋体" w:eastAsia="宋体"/>
          <w:b/>
          <w:sz w:val="24"/>
          <w:szCs w:val="24"/>
        </w:rPr>
      </w:pPr>
      <w:r>
        <w:rPr>
          <w:rFonts w:hint="eastAsia" w:ascii="宋体" w:hAnsi="宋体" w:eastAsia="宋体"/>
          <w:b/>
          <w:sz w:val="24"/>
          <w:szCs w:val="24"/>
        </w:rPr>
        <w:t xml:space="preserve">13.4符合性审查文件</w:t>
      </w:r>
      <w:r>
        <w:rPr>
          <w:rFonts w:ascii="宋体" w:hAnsi="宋体" w:eastAsia="宋体"/>
          <w:b/>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hint="eastAsia" w:ascii="宋体" w:hAnsi="宋体" w:eastAsia="宋体"/>
          <w:sz w:val="24"/>
          <w:szCs w:val="24"/>
        </w:rPr>
        <w:t xml:space="preserve">4</w:t>
      </w:r>
      <w:r>
        <w:rPr>
          <w:rFonts w:ascii="宋体" w:hAnsi="宋体" w:eastAsia="宋体"/>
          <w:sz w:val="24"/>
          <w:szCs w:val="24"/>
        </w:rPr>
        <w:t xml:space="preserve">.1</w:t>
      </w:r>
      <w:r>
        <w:rPr>
          <w:rFonts w:hint="eastAsia" w:ascii="宋体" w:hAnsi="宋体" w:eastAsia="宋体"/>
          <w:sz w:val="24"/>
          <w:szCs w:val="24"/>
        </w:rPr>
        <w:t xml:space="preserve">《服务要求偏离表》、《商务条款偏离表》（格式见第三章）</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w:t>
      </w:r>
      <w:r>
        <w:rPr>
          <w:rFonts w:hint="eastAsia" w:ascii="宋体" w:hAnsi="宋体" w:eastAsia="宋体"/>
          <w:sz w:val="24"/>
          <w:szCs w:val="24"/>
        </w:rPr>
        <w:t xml:space="preserve">4</w:t>
      </w:r>
      <w:r>
        <w:rPr>
          <w:rFonts w:ascii="宋体" w:hAnsi="宋体" w:eastAsia="宋体"/>
          <w:sz w:val="24"/>
          <w:szCs w:val="24"/>
        </w:rPr>
        <w:t xml:space="preserve">.2</w:t>
      </w:r>
      <w:r>
        <w:rPr>
          <w:rFonts w:hint="eastAsia" w:ascii="宋体" w:hAnsi="宋体" w:eastAsia="宋体"/>
          <w:sz w:val="24"/>
          <w:szCs w:val="24"/>
        </w:rPr>
        <w:t xml:space="preserve">其他有关符合性证明的文件；</w:t>
      </w:r>
      <w:r>
        <w:rPr>
          <w:rFonts w:ascii="宋体" w:hAnsi="宋体" w:eastAsia="宋体"/>
          <w:sz w:val="24"/>
          <w:szCs w:val="24"/>
        </w:rPr>
      </w:r>
      <w:r/>
    </w:p>
    <w:p>
      <w:pPr>
        <w:pStyle w:val="723"/>
        <w:ind w:firstLine="408"/>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w:t>
      </w:r>
      <w:r>
        <w:rPr>
          <w:rFonts w:hint="eastAsia" w:ascii="宋体" w:hAnsi="宋体" w:eastAsia="宋体"/>
          <w:b/>
          <w:sz w:val="24"/>
          <w:szCs w:val="24"/>
        </w:rPr>
        <w:t xml:space="preserve">5综合评审文件</w:t>
      </w:r>
      <w:r>
        <w:rPr>
          <w:rFonts w:ascii="宋体" w:hAnsi="宋体" w:eastAsia="宋体"/>
          <w:b/>
          <w:sz w:val="24"/>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5.1针对本项目的服务方案；</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hint="eastAsia" w:ascii="宋体" w:hAnsi="宋体" w:eastAsia="宋体"/>
          <w:sz w:val="24"/>
          <w:szCs w:val="24"/>
        </w:rPr>
        <w:t xml:space="preserve">5</w:t>
      </w:r>
      <w:r>
        <w:rPr>
          <w:rFonts w:ascii="宋体" w:hAnsi="宋体" w:eastAsia="宋体"/>
          <w:sz w:val="24"/>
          <w:szCs w:val="24"/>
        </w:rPr>
        <w:t xml:space="preserve">.2</w:t>
      </w:r>
      <w:r>
        <w:rPr>
          <w:rFonts w:hint="eastAsia" w:ascii="宋体" w:hAnsi="宋体" w:eastAsia="宋体"/>
          <w:sz w:val="24"/>
          <w:szCs w:val="24"/>
        </w:rPr>
        <w:t xml:space="preserve">服务期间人员配备《配备人员一览表》，针对本项目的质量保证，对项目投入人员、服务等；</w:t>
      </w:r>
      <w:r>
        <w:rPr>
          <w:rFonts w:ascii="宋体" w:hAnsi="宋体" w:eastAsia="宋体"/>
          <w:sz w:val="24"/>
          <w:szCs w:val="24"/>
        </w:rPr>
      </w:r>
      <w:r/>
    </w:p>
    <w:p>
      <w:pPr>
        <w:pStyle w:val="723"/>
        <w:ind w:firstLine="480"/>
        <w:spacing w:line="360" w:lineRule="auto"/>
        <w:rPr>
          <w:rFonts w:hint="eastAsia" w:ascii="宋体" w:hAnsi="宋体" w:eastAsia="宋体"/>
          <w:b/>
          <w:bCs/>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5.</w:t>
      </w:r>
      <w:r>
        <w:rPr>
          <w:rFonts w:ascii="宋体" w:hAnsi="宋体" w:eastAsia="宋体"/>
          <w:sz w:val="24"/>
          <w:szCs w:val="24"/>
        </w:rPr>
        <w:t xml:space="preserve">3</w:t>
      </w:r>
      <w:r>
        <w:rPr>
          <w:rFonts w:hint="eastAsia" w:ascii="宋体" w:hAnsi="宋体" w:eastAsia="宋体"/>
          <w:sz w:val="24"/>
          <w:szCs w:val="24"/>
        </w:rPr>
        <w:t xml:space="preserve">投标单位综合能力</w:t>
      </w:r>
      <w:r>
        <w:rPr>
          <w:rFonts w:hint="eastAsia" w:ascii="宋体" w:hAnsi="宋体" w:eastAsia="宋体"/>
          <w:sz w:val="24"/>
          <w:szCs w:val="24"/>
        </w:rPr>
        <w:t xml:space="preserve">及承诺函</w:t>
      </w:r>
      <w:r>
        <w:rPr>
          <w:rFonts w:hint="eastAsia" w:ascii="宋体" w:hAnsi="宋体" w:eastAsia="宋体"/>
          <w:sz w:val="24"/>
          <w:szCs w:val="24"/>
        </w:rPr>
        <w:t xml:space="preserve">；</w:t>
      </w:r>
      <w:r>
        <w:rPr>
          <w:rFonts w:hint="eastAsia" w:ascii="宋体" w:hAnsi="宋体" w:eastAsia="宋体"/>
          <w:b/>
          <w:bCs/>
          <w:sz w:val="24"/>
          <w:szCs w:val="24"/>
        </w:rPr>
      </w:r>
      <w:r/>
    </w:p>
    <w:p>
      <w:pPr>
        <w:pStyle w:val="723"/>
        <w:ind w:firstLine="408"/>
        <w:spacing w:line="360" w:lineRule="auto"/>
        <w:rPr>
          <w:rFonts w:ascii="宋体" w:hAnsi="宋体" w:eastAsia="宋体"/>
          <w:sz w:val="24"/>
          <w:szCs w:val="24"/>
        </w:rPr>
      </w:pPr>
      <w:r>
        <w:rPr>
          <w:rFonts w:hint="eastAsia" w:ascii="宋体" w:hAnsi="宋体" w:eastAsia="宋体"/>
          <w:b/>
          <w:bCs/>
          <w:sz w:val="24"/>
          <w:szCs w:val="24"/>
        </w:rPr>
        <w:t xml:space="preserve">13</w:t>
      </w:r>
      <w:r>
        <w:rPr>
          <w:rFonts w:ascii="宋体" w:hAnsi="宋体" w:eastAsia="宋体"/>
          <w:b/>
          <w:bCs/>
          <w:sz w:val="24"/>
          <w:szCs w:val="24"/>
        </w:rPr>
        <w:t xml:space="preserve">.</w:t>
      </w:r>
      <w:r>
        <w:rPr>
          <w:rFonts w:hint="eastAsia" w:ascii="宋体" w:hAnsi="宋体" w:eastAsia="宋体"/>
          <w:b/>
          <w:bCs/>
          <w:sz w:val="24"/>
          <w:szCs w:val="24"/>
        </w:rPr>
        <w:t xml:space="preserve">6其他可以证明投标单位资质、服务质量的证书、文件等相关资料</w:t>
      </w:r>
      <w:r>
        <w:rPr>
          <w:rFonts w:hint="eastAsia" w:ascii="宋体" w:hAnsi="宋体" w:eastAsia="宋体"/>
          <w:sz w:val="24"/>
          <w:szCs w:val="24"/>
        </w:rPr>
        <w:t xml:space="preserve">。</w:t>
      </w:r>
      <w:r>
        <w:rPr>
          <w:rFonts w:ascii="宋体" w:hAnsi="宋体" w:eastAsia="宋体"/>
          <w:sz w:val="24"/>
          <w:szCs w:val="24"/>
        </w:rPr>
      </w:r>
      <w:r/>
    </w:p>
    <w:p>
      <w:pPr>
        <w:pStyle w:val="1061"/>
        <w:ind w:firstLine="492"/>
        <w:spacing w:line="360" w:lineRule="auto"/>
        <w:rPr>
          <w:rFonts w:ascii="宋体" w:hAnsi="宋体" w:cs="宋体"/>
          <w:b/>
          <w:bCs/>
          <w:sz w:val="24"/>
          <w:szCs w:val="24"/>
        </w:rPr>
      </w:pPr>
      <w:r>
        <w:rPr>
          <w:rFonts w:hint="eastAsia" w:ascii="宋体" w:hAnsi="宋体" w:cs="宋体"/>
          <w:b/>
          <w:bCs/>
          <w:sz w:val="24"/>
          <w:szCs w:val="24"/>
        </w:rPr>
        <w:t xml:space="preserve">注：（1）以上</w:t>
      </w:r>
      <w:r>
        <w:rPr>
          <w:rFonts w:ascii="宋体" w:hAnsi="宋体" w:cs="宋体"/>
          <w:b/>
          <w:bCs/>
          <w:sz w:val="24"/>
          <w:szCs w:val="24"/>
        </w:rPr>
        <w:t xml:space="preserve">1</w:t>
      </w:r>
      <w:r>
        <w:rPr>
          <w:rFonts w:hint="eastAsia" w:ascii="宋体" w:hAnsi="宋体" w:cs="宋体"/>
          <w:b/>
          <w:bCs/>
          <w:sz w:val="24"/>
          <w:szCs w:val="24"/>
        </w:rPr>
        <w:t xml:space="preserve">3</w:t>
      </w:r>
      <w:r>
        <w:rPr>
          <w:rFonts w:ascii="宋体" w:hAnsi="宋体" w:cs="宋体"/>
          <w:b/>
          <w:bCs/>
          <w:sz w:val="24"/>
          <w:szCs w:val="24"/>
        </w:rPr>
        <w:t xml:space="preserve">.</w:t>
      </w:r>
      <w:r>
        <w:rPr>
          <w:rFonts w:hint="eastAsia" w:ascii="宋体" w:hAnsi="宋体" w:cs="宋体"/>
          <w:b/>
          <w:bCs/>
          <w:sz w:val="24"/>
          <w:szCs w:val="24"/>
          <w:lang w:val="en-US"/>
        </w:rPr>
        <w:t xml:space="preserve">3</w:t>
      </w:r>
      <w:r>
        <w:rPr>
          <w:rFonts w:ascii="宋体" w:hAnsi="宋体" w:cs="宋体"/>
          <w:b/>
          <w:bCs/>
          <w:sz w:val="24"/>
          <w:szCs w:val="24"/>
        </w:rPr>
        <w:t xml:space="preserve">.1-1</w:t>
      </w:r>
      <w:r>
        <w:rPr>
          <w:rFonts w:hint="eastAsia" w:ascii="宋体" w:hAnsi="宋体" w:cs="宋体"/>
          <w:b/>
          <w:bCs/>
          <w:sz w:val="24"/>
          <w:szCs w:val="24"/>
        </w:rPr>
        <w:t xml:space="preserve">3</w:t>
      </w:r>
      <w:r>
        <w:rPr>
          <w:rFonts w:ascii="宋体" w:hAnsi="宋体" w:cs="宋体"/>
          <w:b/>
          <w:bCs/>
          <w:sz w:val="24"/>
          <w:szCs w:val="24"/>
        </w:rPr>
        <w:t xml:space="preserve">.</w:t>
      </w:r>
      <w:r>
        <w:rPr>
          <w:rFonts w:hint="eastAsia" w:ascii="宋体" w:hAnsi="宋体" w:cs="宋体"/>
          <w:b/>
          <w:bCs/>
          <w:sz w:val="24"/>
          <w:szCs w:val="24"/>
          <w:lang w:val="en-US"/>
        </w:rPr>
        <w:t xml:space="preserve">3</w:t>
      </w:r>
      <w:r>
        <w:rPr>
          <w:rFonts w:ascii="宋体" w:hAnsi="宋体" w:cs="宋体"/>
          <w:b/>
          <w:bCs/>
          <w:sz w:val="24"/>
          <w:szCs w:val="24"/>
        </w:rPr>
        <w:t xml:space="preserve">.</w:t>
      </w:r>
      <w:r>
        <w:rPr>
          <w:rFonts w:hint="eastAsia" w:ascii="宋体" w:hAnsi="宋体" w:cs="宋体"/>
          <w:b/>
          <w:bCs/>
          <w:sz w:val="24"/>
          <w:szCs w:val="24"/>
          <w:lang w:val="en-US"/>
        </w:rPr>
        <w:t xml:space="preserve">10</w:t>
      </w:r>
      <w:r>
        <w:rPr>
          <w:rFonts w:hint="eastAsia" w:ascii="宋体" w:hAnsi="宋体" w:cs="宋体"/>
          <w:b/>
          <w:bCs/>
          <w:sz w:val="24"/>
          <w:szCs w:val="24"/>
        </w:rPr>
        <w:t xml:space="preserve">为资格审查要求提供的材料，是作为对供应商资格审查、质疑身份认定的依据，投标单位必须提供并加盖电子公章。否则，投标文件将被认定为不符合资格审查要求。</w:t>
      </w:r>
      <w:r>
        <w:rPr>
          <w:rFonts w:ascii="宋体" w:hAnsi="宋体" w:cs="宋体"/>
          <w:b/>
          <w:bCs/>
          <w:sz w:val="24"/>
          <w:szCs w:val="24"/>
        </w:rPr>
      </w:r>
      <w:r/>
    </w:p>
    <w:p>
      <w:pPr>
        <w:pStyle w:val="1061"/>
        <w:ind w:firstLine="492"/>
        <w:spacing w:line="360" w:lineRule="auto"/>
        <w:rPr>
          <w:rFonts w:ascii="宋体" w:hAnsi="宋体" w:cs="宋体"/>
          <w:b/>
          <w:bCs/>
          <w:sz w:val="24"/>
          <w:szCs w:val="24"/>
        </w:rPr>
      </w:pPr>
      <w:r>
        <w:rPr>
          <w:rFonts w:hint="eastAsia" w:ascii="宋体" w:hAnsi="宋体" w:cs="宋体"/>
          <w:b/>
          <w:bCs/>
          <w:sz w:val="24"/>
          <w:szCs w:val="24"/>
        </w:rPr>
        <w:t xml:space="preserve">（2）以上13</w:t>
      </w:r>
      <w:r>
        <w:rPr>
          <w:rFonts w:ascii="宋体" w:hAnsi="宋体" w:cs="宋体"/>
          <w:b/>
          <w:bCs/>
          <w:sz w:val="24"/>
          <w:szCs w:val="24"/>
        </w:rPr>
        <w:t xml:space="preserve">.</w:t>
      </w:r>
      <w:r>
        <w:rPr>
          <w:rFonts w:hint="eastAsia" w:ascii="宋体" w:hAnsi="宋体" w:cs="宋体"/>
          <w:b/>
          <w:bCs/>
          <w:sz w:val="24"/>
          <w:szCs w:val="24"/>
          <w:lang w:val="en-US"/>
        </w:rPr>
        <w:t xml:space="preserve">4</w:t>
      </w:r>
      <w:r>
        <w:rPr>
          <w:rFonts w:ascii="宋体" w:hAnsi="宋体" w:cs="宋体"/>
          <w:b/>
          <w:bCs/>
          <w:sz w:val="24"/>
          <w:szCs w:val="24"/>
        </w:rPr>
        <w:t xml:space="preserve">.1</w:t>
      </w:r>
      <w:r>
        <w:rPr>
          <w:rFonts w:hint="eastAsia" w:ascii="宋体" w:hAnsi="宋体" w:cs="宋体"/>
          <w:b/>
          <w:bCs/>
          <w:sz w:val="24"/>
          <w:szCs w:val="24"/>
        </w:rPr>
        <w:t xml:space="preserve">-</w:t>
      </w:r>
      <w:r>
        <w:rPr>
          <w:rFonts w:ascii="宋体" w:hAnsi="宋体" w:cs="宋体"/>
          <w:b/>
          <w:bCs/>
          <w:sz w:val="24"/>
          <w:szCs w:val="24"/>
        </w:rPr>
        <w:t xml:space="preserve">1</w:t>
      </w:r>
      <w:r>
        <w:rPr>
          <w:rFonts w:hint="eastAsia" w:ascii="宋体" w:hAnsi="宋体" w:cs="宋体"/>
          <w:b/>
          <w:bCs/>
          <w:sz w:val="24"/>
          <w:szCs w:val="24"/>
        </w:rPr>
        <w:t xml:space="preserve">3</w:t>
      </w:r>
      <w:r>
        <w:rPr>
          <w:rFonts w:ascii="宋体" w:hAnsi="宋体" w:cs="宋体"/>
          <w:b/>
          <w:bCs/>
          <w:sz w:val="24"/>
          <w:szCs w:val="24"/>
        </w:rPr>
        <w:t xml:space="preserve">.</w:t>
      </w:r>
      <w:r>
        <w:rPr>
          <w:rFonts w:hint="eastAsia" w:ascii="宋体" w:hAnsi="宋体" w:cs="宋体"/>
          <w:b/>
          <w:bCs/>
          <w:sz w:val="24"/>
          <w:szCs w:val="24"/>
          <w:lang w:val="en-US"/>
        </w:rPr>
        <w:t xml:space="preserve">4</w:t>
      </w:r>
      <w:r>
        <w:rPr>
          <w:rFonts w:ascii="宋体" w:hAnsi="宋体" w:cs="宋体"/>
          <w:b/>
          <w:bCs/>
          <w:sz w:val="24"/>
          <w:szCs w:val="24"/>
        </w:rPr>
        <w:t xml:space="preserve">.2</w:t>
      </w:r>
      <w:r>
        <w:rPr>
          <w:rFonts w:hint="eastAsia" w:ascii="宋体" w:hAnsi="宋体" w:cs="宋体"/>
          <w:b/>
          <w:bCs/>
          <w:sz w:val="24"/>
          <w:szCs w:val="24"/>
        </w:rPr>
        <w:t xml:space="preserve">为符合性审查须提供的资料，投标单位必须提供并加盖电子公章。否则，投标文件将被认定为未实质性响应。</w:t>
      </w:r>
      <w:r>
        <w:rPr>
          <w:rFonts w:ascii="宋体" w:hAnsi="宋体" w:cs="宋体"/>
          <w:b/>
          <w:bCs/>
          <w:sz w:val="24"/>
          <w:szCs w:val="24"/>
        </w:rPr>
      </w:r>
      <w:r/>
    </w:p>
    <w:p>
      <w:pPr>
        <w:pStyle w:val="1061"/>
        <w:ind w:firstLine="492"/>
        <w:spacing w:line="360" w:lineRule="auto"/>
        <w:rPr>
          <w:rFonts w:ascii="宋体" w:hAnsi="宋体"/>
          <w:sz w:val="24"/>
          <w:szCs w:val="24"/>
        </w:rPr>
      </w:pPr>
      <w:r>
        <w:rPr>
          <w:rFonts w:hint="eastAsia" w:ascii="宋体" w:hAnsi="宋体"/>
          <w:b/>
          <w:sz w:val="24"/>
          <w:szCs w:val="24"/>
        </w:rPr>
        <w:t xml:space="preserve">（3）“13</w:t>
      </w:r>
      <w:r>
        <w:rPr>
          <w:rFonts w:ascii="宋体" w:hAnsi="宋体"/>
          <w:b/>
          <w:sz w:val="24"/>
          <w:szCs w:val="24"/>
        </w:rPr>
        <w:t xml:space="preserve">.</w:t>
      </w:r>
      <w:r>
        <w:rPr>
          <w:rFonts w:hint="eastAsia" w:ascii="宋体" w:hAnsi="宋体"/>
          <w:b/>
          <w:sz w:val="24"/>
          <w:szCs w:val="24"/>
          <w:lang w:val="en-US"/>
        </w:rPr>
        <w:t xml:space="preserve">3</w:t>
      </w:r>
      <w:r>
        <w:rPr>
          <w:rFonts w:ascii="宋体" w:hAnsi="宋体"/>
          <w:b/>
          <w:sz w:val="24"/>
          <w:szCs w:val="24"/>
        </w:rPr>
        <w:t xml:space="preserve">-1</w:t>
      </w:r>
      <w:r>
        <w:rPr>
          <w:rFonts w:hint="eastAsia" w:ascii="宋体" w:hAnsi="宋体"/>
          <w:b/>
          <w:sz w:val="24"/>
          <w:szCs w:val="24"/>
        </w:rPr>
        <w:t xml:space="preserve">3</w:t>
      </w:r>
      <w:r>
        <w:rPr>
          <w:rFonts w:ascii="宋体" w:hAnsi="宋体"/>
          <w:b/>
          <w:sz w:val="24"/>
          <w:szCs w:val="24"/>
        </w:rPr>
        <w:t xml:space="preserve">.</w:t>
      </w:r>
      <w:r>
        <w:rPr>
          <w:rFonts w:hint="eastAsia" w:ascii="宋体" w:hAnsi="宋体"/>
          <w:b/>
          <w:sz w:val="24"/>
          <w:szCs w:val="24"/>
          <w:lang w:val="en-US"/>
        </w:rPr>
        <w:t xml:space="preserve">6</w:t>
      </w:r>
      <w:r>
        <w:rPr>
          <w:rFonts w:hint="eastAsia" w:ascii="宋体" w:hAnsi="宋体"/>
          <w:b/>
          <w:sz w:val="24"/>
          <w:szCs w:val="24"/>
        </w:rPr>
        <w:t xml:space="preserve">”中不得出现投标总报价。</w:t>
      </w:r>
      <w:r>
        <w:rPr>
          <w:rFonts w:hint="eastAsia" w:ascii="宋体" w:hAnsi="宋体"/>
          <w:sz w:val="24"/>
          <w:szCs w:val="24"/>
        </w:rPr>
        <w:t xml:space="preserve">投标单位所提交的资料的完整与否，将直接影响投标单位的评分。</w:t>
      </w:r>
      <w:r>
        <w:rPr>
          <w:rFonts w:ascii="宋体" w:hAnsi="宋体"/>
          <w:sz w:val="24"/>
          <w:szCs w:val="24"/>
        </w:rPr>
      </w:r>
      <w:r/>
    </w:p>
    <w:p>
      <w:pPr>
        <w:pStyle w:val="1061"/>
        <w:ind w:firstLine="492"/>
        <w:spacing w:line="360" w:lineRule="auto"/>
        <w:rPr>
          <w:rFonts w:ascii="宋体" w:hAnsi="宋体" w:cs="宋体"/>
          <w:b/>
          <w:bCs/>
          <w:sz w:val="24"/>
          <w:szCs w:val="24"/>
        </w:rPr>
      </w:pPr>
      <w:r>
        <w:rPr>
          <w:rFonts w:hint="eastAsia" w:ascii="宋体" w:hAnsi="宋体"/>
          <w:b/>
          <w:sz w:val="24"/>
          <w:szCs w:val="24"/>
        </w:rPr>
        <w:t xml:space="preserve">（</w:t>
      </w:r>
      <w:r>
        <w:rPr>
          <w:rFonts w:ascii="宋体" w:hAnsi="宋体"/>
          <w:b/>
          <w:sz w:val="24"/>
          <w:szCs w:val="24"/>
        </w:rPr>
        <w:t xml:space="preserve">4</w:t>
      </w:r>
      <w:r>
        <w:rPr>
          <w:rFonts w:hint="eastAsia" w:ascii="宋体" w:hAnsi="宋体"/>
          <w:b/>
          <w:sz w:val="24"/>
          <w:szCs w:val="24"/>
        </w:rPr>
        <w:t xml:space="preserve">）制作电子投标文件时必须与投标文件制作软件目录一一对应，将相关资料上传至相应模块。</w:t>
      </w:r>
      <w:r>
        <w:rPr>
          <w:rFonts w:ascii="宋体" w:hAnsi="宋体" w:cs="宋体"/>
          <w:b/>
          <w:bCs/>
          <w:sz w:val="24"/>
          <w:szCs w:val="24"/>
        </w:rPr>
      </w:r>
      <w:r/>
    </w:p>
    <w:p>
      <w:pPr>
        <w:pStyle w:val="1061"/>
        <w:ind w:firstLine="492"/>
        <w:spacing w:line="360" w:lineRule="auto"/>
        <w:rPr>
          <w:rFonts w:ascii="宋体" w:hAnsi="宋体"/>
          <w:b/>
          <w:sz w:val="24"/>
          <w:szCs w:val="24"/>
        </w:rPr>
      </w:pPr>
      <w:r>
        <w:rPr>
          <w:rFonts w:hint="eastAsia" w:ascii="宋体" w:hAnsi="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14.</w:t>
      </w:r>
      <w:r>
        <w:rPr>
          <w:rFonts w:hint="eastAsia" w:ascii="宋体" w:hAnsi="宋体" w:eastAsia="宋体"/>
          <w:b/>
          <w:sz w:val="24"/>
          <w:szCs w:val="24"/>
        </w:rPr>
        <w:t xml:space="preserve">投标文件编制要求</w:t>
      </w:r>
      <w:r>
        <w:rPr>
          <w:rFonts w:ascii="宋体" w:hAnsi="宋体" w:eastAsia="宋体"/>
          <w:b/>
          <w:sz w:val="24"/>
          <w:szCs w:val="24"/>
        </w:rPr>
      </w:r>
      <w:r/>
    </w:p>
    <w:p>
      <w:pPr>
        <w:pStyle w:val="723"/>
        <w:ind w:firstLine="480"/>
        <w:spacing w:line="360" w:lineRule="auto"/>
        <w:rPr>
          <w:rFonts w:ascii="宋体" w:hAnsi="宋体" w:eastAsia="宋体"/>
          <w:b/>
          <w:bCs/>
          <w:sz w:val="24"/>
          <w:szCs w:val="24"/>
        </w:rPr>
      </w:pPr>
      <w:r>
        <w:rPr>
          <w:rFonts w:hint="eastAsia" w:ascii="宋体" w:hAnsi="宋体" w:eastAsia="宋体"/>
          <w:sz w:val="24"/>
          <w:szCs w:val="24"/>
        </w:rPr>
        <w:t xml:space="preserve">14.1</w:t>
      </w:r>
      <w:r>
        <w:rPr>
          <w:rFonts w:hint="eastAsia" w:ascii="宋体" w:hAnsi="宋体" w:eastAsia="宋体"/>
          <w:b/>
          <w:bCs/>
          <w:sz w:val="24"/>
          <w:szCs w:val="24"/>
        </w:rPr>
        <w:t xml:space="preserve">投标文件按统一格式、顺序编写。</w:t>
      </w:r>
      <w:r>
        <w:rPr>
          <w:rFonts w:ascii="宋体" w:hAnsi="宋体" w:eastAsia="宋体"/>
          <w:b/>
          <w:bCs/>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14.2《开标一览表》为在开标仪式上唱标的内容，要求按格式填写，统一规范，不得自行增减内容。</w:t>
      </w:r>
      <w:r>
        <w:rPr>
          <w:rFonts w:ascii="宋体" w:hAnsi="宋体" w:eastAsia="宋体"/>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15.</w:t>
      </w:r>
      <w:r>
        <w:rPr>
          <w:rFonts w:hint="eastAsia" w:ascii="宋体" w:hAnsi="宋体" w:eastAsia="宋体"/>
          <w:b/>
          <w:sz w:val="24"/>
          <w:szCs w:val="24"/>
        </w:rPr>
        <w:t xml:space="preserve">投标报价（编制）要求的说明</w:t>
      </w:r>
      <w:r>
        <w:rPr>
          <w:rFonts w:ascii="宋体" w:hAnsi="宋体" w:eastAsia="宋体"/>
          <w:b/>
          <w:sz w:val="24"/>
          <w:szCs w:val="24"/>
        </w:rPr>
      </w:r>
      <w:r/>
    </w:p>
    <w:p>
      <w:pPr>
        <w:pStyle w:val="723"/>
        <w:ind w:firstLine="480"/>
        <w:spacing w:line="360" w:lineRule="auto"/>
        <w:rPr>
          <w:rFonts w:ascii="宋体" w:hAnsi="宋体" w:eastAsia="宋体" w:cs="仿宋_GB2312"/>
          <w:sz w:val="24"/>
          <w:szCs w:val="24"/>
        </w:rPr>
      </w:pPr>
      <w:r>
        <w:rPr>
          <w:rFonts w:ascii="宋体" w:hAnsi="宋体" w:eastAsia="宋体"/>
          <w:sz w:val="24"/>
          <w:szCs w:val="24"/>
        </w:rPr>
        <w:t xml:space="preserve">15.1</w:t>
      </w:r>
      <w:r>
        <w:rPr>
          <w:rFonts w:hint="eastAsia" w:ascii="宋体" w:hAnsi="宋体" w:eastAsia="宋体"/>
          <w:sz w:val="24"/>
          <w:szCs w:val="24"/>
        </w:rPr>
        <w:t xml:space="preserve">投标报价应包括完成该标的物全部内容的一切费用。投标报价为最终报价，投标单位所报价格在合同实施期间不因市场变化因素而变动。</w:t>
      </w:r>
      <w:r>
        <w:rPr>
          <w:rFonts w:ascii="宋体" w:hAnsi="宋体" w:eastAsia="宋体" w:cs="仿宋_GB2312"/>
          <w:sz w:val="24"/>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15.2</w:t>
      </w:r>
      <w:r>
        <w:rPr>
          <w:rFonts w:hint="eastAsia" w:ascii="宋体" w:hAnsi="宋体" w:eastAsia="宋体"/>
          <w:szCs w:val="24"/>
        </w:rPr>
        <w:t xml:space="preserve">投标单位应按《</w:t>
      </w:r>
      <w:r>
        <w:rPr>
          <w:rFonts w:hint="eastAsia" w:ascii="宋体" w:hAnsi="宋体" w:eastAsia="宋体" w:cs="宋体"/>
          <w:szCs w:val="24"/>
          <w:lang w:val="zh-TW" w:eastAsia="zh-TW"/>
        </w:rPr>
        <w:t xml:space="preserve">投标报价组成明细表</w:t>
      </w:r>
      <w:r>
        <w:rPr>
          <w:rFonts w:hint="eastAsia" w:ascii="宋体" w:hAnsi="宋体" w:eastAsia="宋体"/>
          <w:szCs w:val="24"/>
        </w:rPr>
        <w:t xml:space="preserve">》中的全部货物和服务计算单价和总价。《</w:t>
      </w:r>
      <w:r>
        <w:rPr>
          <w:rFonts w:hint="eastAsia" w:ascii="宋体" w:hAnsi="宋体" w:eastAsia="宋体" w:cs="宋体"/>
          <w:szCs w:val="24"/>
          <w:lang w:val="zh-TW" w:eastAsia="zh-TW"/>
        </w:rPr>
        <w:t xml:space="preserve">投标报价组成明细表</w:t>
      </w:r>
      <w:r>
        <w:rPr>
          <w:rFonts w:hint="eastAsia" w:ascii="宋体" w:hAnsi="宋体" w:eastAsia="宋体"/>
          <w:szCs w:val="24"/>
        </w:rPr>
        <w:t xml:space="preserve">》中的每一单项均应计算并填写单价和总价，并由法定代表人或代理人签署。投标单位</w:t>
      </w:r>
      <w:r>
        <w:rPr>
          <w:rFonts w:ascii="宋体" w:hAnsi="宋体" w:eastAsia="宋体"/>
          <w:szCs w:val="24"/>
        </w:rPr>
        <w:t xml:space="preserve">未填单价或合价的项目，在实施后，</w:t>
      </w:r>
      <w:r>
        <w:rPr>
          <w:rFonts w:hint="eastAsia" w:ascii="宋体" w:hAnsi="宋体" w:eastAsia="宋体"/>
          <w:szCs w:val="24"/>
        </w:rPr>
        <w:t xml:space="preserve">采购方</w:t>
      </w:r>
      <w:r>
        <w:rPr>
          <w:rFonts w:ascii="宋体" w:hAnsi="宋体" w:eastAsia="宋体"/>
          <w:szCs w:val="24"/>
        </w:rPr>
        <w:t xml:space="preserve">将不予支付，并视为该项费用已包括在其它有价款的单价或合价内。</w:t>
      </w:r>
      <w:r/>
    </w:p>
    <w:p>
      <w:pPr>
        <w:pStyle w:val="748"/>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5.3投标单位应对招标文件内所要采购的全部内容进行报价，只投其中部分内容者，其标书将被拒绝。但如果招标文件要求分标段投标的，则投标单位可以按招标文件要求选择地只投其中一个或几个标段，也可以投全部标段，但各标段应分别计算填写单价和总价。</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5</w:t>
      </w:r>
      <w:r>
        <w:rPr>
          <w:rFonts w:ascii="宋体" w:hAnsi="宋体" w:eastAsia="宋体"/>
          <w:szCs w:val="24"/>
        </w:rPr>
        <w:t xml:space="preserve">.4</w:t>
      </w:r>
      <w:r>
        <w:rPr>
          <w:rFonts w:hint="eastAsia" w:ascii="宋体" w:hAnsi="宋体" w:eastAsia="宋体"/>
          <w:szCs w:val="24"/>
        </w:rPr>
        <w:t xml:space="preserve">一项投标内容只允许一个报价，采购方或采购代理机构不接受任何有选择性的投标报价。</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5</w:t>
      </w:r>
      <w:r>
        <w:rPr>
          <w:rFonts w:ascii="宋体" w:hAnsi="宋体" w:eastAsia="宋体"/>
          <w:szCs w:val="24"/>
        </w:rPr>
        <w:t xml:space="preserve">.5</w:t>
      </w:r>
      <w:r>
        <w:rPr>
          <w:rFonts w:hint="eastAsia" w:ascii="宋体" w:hAnsi="宋体" w:eastAsia="宋体"/>
          <w:szCs w:val="24"/>
        </w:rPr>
        <w:t xml:space="preserve">投标文件报价中的单价和总价全部采用人民币表示，除非合同的特殊条款另有规定。</w:t>
      </w:r>
      <w:r>
        <w:rPr>
          <w:rFonts w:ascii="宋体" w:hAnsi="宋体" w:eastAsia="宋体"/>
          <w:szCs w:val="24"/>
        </w:rPr>
      </w:r>
      <w:r/>
    </w:p>
    <w:p>
      <w:pPr>
        <w:pStyle w:val="723"/>
        <w:ind w:firstLine="480"/>
        <w:spacing w:line="360" w:lineRule="auto"/>
        <w:rPr>
          <w:rFonts w:ascii="宋体" w:hAnsi="宋体" w:eastAsia="宋体"/>
          <w:b/>
          <w:bCs/>
          <w:sz w:val="24"/>
          <w:szCs w:val="24"/>
        </w:rPr>
      </w:pPr>
      <w:r>
        <w:rPr>
          <w:rFonts w:ascii="宋体" w:hAnsi="宋体" w:eastAsia="宋体"/>
          <w:sz w:val="24"/>
          <w:szCs w:val="24"/>
        </w:rPr>
        <w:t xml:space="preserve">1</w:t>
      </w:r>
      <w:r>
        <w:rPr>
          <w:rFonts w:hint="eastAsia" w:ascii="宋体" w:hAnsi="宋体" w:eastAsia="宋体"/>
          <w:sz w:val="24"/>
          <w:szCs w:val="24"/>
        </w:rPr>
        <w:t xml:space="preserve">5</w:t>
      </w:r>
      <w:r>
        <w:rPr>
          <w:rFonts w:ascii="宋体" w:hAnsi="宋体" w:eastAsia="宋体"/>
          <w:sz w:val="24"/>
          <w:szCs w:val="24"/>
        </w:rPr>
        <w:t xml:space="preserve">.6</w:t>
      </w:r>
      <w:r>
        <w:rPr>
          <w:rFonts w:hint="eastAsia" w:ascii="宋体" w:hAnsi="宋体" w:eastAsia="宋体"/>
          <w:b/>
          <w:bCs/>
          <w:sz w:val="24"/>
          <w:szCs w:val="24"/>
        </w:rPr>
        <w:t xml:space="preserve">最低的报价或最高的折扣率不能作为中标的保证。</w:t>
      </w:r>
      <w:r>
        <w:rPr>
          <w:rFonts w:ascii="宋体" w:hAnsi="宋体" w:eastAsia="宋体"/>
          <w:b/>
          <w:bCs/>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16.</w:t>
      </w:r>
      <w:r>
        <w:rPr>
          <w:rFonts w:hint="eastAsia" w:ascii="宋体" w:hAnsi="宋体" w:eastAsia="宋体"/>
          <w:b/>
          <w:sz w:val="24"/>
          <w:szCs w:val="24"/>
        </w:rPr>
        <w:t xml:space="preserve">投标保证金：本项目不收取投标保证金。</w:t>
      </w:r>
      <w:r>
        <w:rPr>
          <w:rFonts w:ascii="宋体" w:hAnsi="宋体" w:eastAsia="宋体"/>
          <w:b/>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17.</w:t>
      </w:r>
      <w:r>
        <w:rPr>
          <w:rFonts w:hint="eastAsia" w:ascii="宋体" w:hAnsi="宋体" w:eastAsia="宋体"/>
          <w:b/>
          <w:sz w:val="24"/>
          <w:szCs w:val="24"/>
        </w:rPr>
        <w:t xml:space="preserve">投标文件的有效期</w:t>
      </w:r>
      <w:r>
        <w:rPr>
          <w:rFonts w:ascii="宋体" w:hAnsi="宋体" w:eastAsia="宋体"/>
          <w:b/>
          <w:sz w:val="24"/>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t xml:space="preserve">17.1</w:t>
      </w:r>
      <w:r>
        <w:rPr>
          <w:rFonts w:hint="eastAsia" w:ascii="宋体" w:hAnsi="宋体" w:eastAsia="宋体"/>
          <w:sz w:val="24"/>
          <w:szCs w:val="24"/>
        </w:rPr>
        <w:t xml:space="preserve">自投标</w:t>
      </w:r>
      <w:r>
        <w:rPr>
          <w:rFonts w:ascii="宋体" w:hAnsi="宋体" w:eastAsia="宋体"/>
          <w:sz w:val="24"/>
          <w:szCs w:val="24"/>
        </w:rPr>
        <w:t xml:space="preserve">截止</w:t>
      </w:r>
      <w:r>
        <w:rPr>
          <w:rFonts w:hint="eastAsia" w:ascii="宋体" w:hAnsi="宋体" w:eastAsia="宋体"/>
          <w:sz w:val="24"/>
          <w:szCs w:val="24"/>
        </w:rPr>
        <w:t xml:space="preserve">日起</w:t>
      </w:r>
      <w:r>
        <w:rPr>
          <w:rFonts w:ascii="宋体" w:hAnsi="宋体" w:eastAsia="宋体"/>
          <w:sz w:val="24"/>
          <w:szCs w:val="24"/>
          <w:u w:val="single"/>
        </w:rPr>
        <w:t xml:space="preserve">6</w:t>
      </w:r>
      <w:r>
        <w:rPr>
          <w:rFonts w:hint="eastAsia" w:ascii="宋体" w:hAnsi="宋体" w:eastAsia="宋体"/>
          <w:sz w:val="24"/>
          <w:szCs w:val="24"/>
          <w:u w:val="single"/>
        </w:rPr>
        <w:t xml:space="preserve">0</w:t>
      </w:r>
      <w:r>
        <w:rPr>
          <w:rFonts w:hint="eastAsia" w:ascii="宋体" w:hAnsi="宋体" w:eastAsia="宋体"/>
          <w:sz w:val="24"/>
          <w:szCs w:val="24"/>
        </w:rPr>
        <w:t xml:space="preserve">天内，投标书应保持有效。有效期短于这个规定期限的投标将被拒绝。</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t xml:space="preserve">17.2</w:t>
      </w:r>
      <w:r>
        <w:rPr>
          <w:rFonts w:hint="eastAsia" w:ascii="宋体" w:hAnsi="宋体" w:eastAsia="宋体"/>
          <w:sz w:val="24"/>
          <w:szCs w:val="24"/>
        </w:rPr>
        <w:t xml:space="preserve">在特殊情况下，采购方或采购代理机构可与投标单位协商延长投标书的有效期。这种要求和答复都应以书面形式进行。同意延长有效期的投标单位不能修改投标文件，拒绝接受延期要求的投标单位的投标将被拒绝。</w:t>
      </w:r>
      <w:r>
        <w:rPr>
          <w:rFonts w:ascii="宋体" w:hAnsi="宋体" w:eastAsia="宋体"/>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18.</w:t>
      </w:r>
      <w:r>
        <w:rPr>
          <w:rFonts w:hint="eastAsia" w:ascii="宋体" w:hAnsi="宋体" w:eastAsia="宋体"/>
          <w:b/>
          <w:sz w:val="24"/>
          <w:szCs w:val="24"/>
        </w:rPr>
        <w:t xml:space="preserve">投标文件的制作、签署、上传</w:t>
      </w:r>
      <w:r>
        <w:rPr>
          <w:rFonts w:ascii="宋体" w:hAnsi="宋体" w:eastAsia="宋体"/>
          <w:b/>
          <w:sz w:val="24"/>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18.1</w:t>
      </w:r>
      <w:r>
        <w:rPr>
          <w:rFonts w:hint="eastAsia" w:ascii="宋体" w:hAnsi="宋体" w:eastAsia="宋体"/>
          <w:color w:val="000000"/>
          <w:szCs w:val="24"/>
        </w:rPr>
        <w:t xml:space="preserve">本项目采用电子招投标形式，请供应商按照</w:t>
      </w:r>
      <w:r>
        <w:rPr>
          <w:rFonts w:hint="eastAsia" w:ascii="宋体" w:hAnsi="宋体" w:eastAsia="宋体"/>
          <w:b/>
          <w:color w:val="000000"/>
          <w:szCs w:val="24"/>
        </w:rPr>
        <w:t xml:space="preserve">《苏采云系统供应商操作手册》</w:t>
      </w:r>
      <w:r>
        <w:rPr>
          <w:rFonts w:hint="eastAsia" w:ascii="宋体" w:hAnsi="宋体" w:eastAsia="宋体"/>
          <w:color w:val="000000"/>
          <w:szCs w:val="24"/>
        </w:rPr>
        <w:t xml:space="preserve">进行制作、上传电子投标文件。</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18.2制作电子投标文件时，应按照招标文件要求加盖投标单位电子公章。</w:t>
      </w:r>
      <w:r>
        <w:rPr>
          <w:rFonts w:ascii="宋体" w:hAnsi="宋体" w:eastAsia="宋体"/>
          <w:szCs w:val="24"/>
        </w:rPr>
      </w:r>
      <w:r/>
    </w:p>
    <w:p>
      <w:pPr>
        <w:pStyle w:val="748"/>
        <w:ind w:firstLine="480"/>
        <w:spacing w:line="360" w:lineRule="auto"/>
        <w:rPr>
          <w:rFonts w:ascii="宋体" w:hAnsi="宋体" w:eastAsia="宋体"/>
          <w:szCs w:val="24"/>
        </w:rPr>
      </w:pPr>
      <w:r>
        <w:rPr>
          <w:rFonts w:hint="eastAsia" w:ascii="宋体" w:hAnsi="宋体" w:eastAsia="宋体"/>
          <w:szCs w:val="24"/>
        </w:rPr>
        <w:t xml:space="preserve">18.3</w:t>
      </w:r>
      <w:r>
        <w:rPr>
          <w:rFonts w:hint="eastAsia" w:ascii="宋体" w:hAnsi="宋体" w:eastAsia="宋体"/>
          <w:b/>
          <w:bCs/>
          <w:szCs w:val="24"/>
        </w:rPr>
        <w:t xml:space="preserve">电子投标文件制作完成后请于投标文件网上提交截止时间前成功上传至“苏采云”系统，否则视为放弃参加该采购项目。</w:t>
      </w:r>
      <w:r>
        <w:rPr>
          <w:rFonts w:hint="eastAsia" w:ascii="宋体" w:hAnsi="宋体" w:eastAsia="宋体"/>
          <w:szCs w:val="24"/>
        </w:rPr>
        <w:t xml:space="preserve">投标单位提交投标文件的时间以系统收到上传的电子投标文件时间为准，投标单位应充分考虑到网络环境、网络带宽等风险因素，如因投标单位自身原因造成的电子投标文件上传不成功由投标单位自行承担全部责任。</w:t>
      </w:r>
      <w:r>
        <w:rPr>
          <w:rFonts w:ascii="宋体" w:hAnsi="宋体" w:eastAsia="宋体"/>
          <w:szCs w:val="24"/>
        </w:rPr>
      </w:r>
      <w:r/>
    </w:p>
    <w:p>
      <w:pPr>
        <w:pStyle w:val="723"/>
        <w:spacing w:line="360" w:lineRule="auto"/>
        <w:rPr>
          <w:rFonts w:ascii="宋体" w:hAnsi="宋体" w:eastAsia="宋体"/>
          <w:b/>
          <w:sz w:val="24"/>
          <w:szCs w:val="24"/>
        </w:rPr>
      </w:pPr>
      <w:r>
        <w:rPr>
          <w:rFonts w:hint="eastAsia" w:ascii="宋体" w:hAnsi="宋体" w:eastAsia="宋体"/>
          <w:b/>
          <w:sz w:val="24"/>
          <w:szCs w:val="24"/>
        </w:rPr>
        <w:t xml:space="preserve">五、投标文件的递交、补充、修改和撤回</w:t>
      </w:r>
      <w:r>
        <w:rPr>
          <w:rFonts w:ascii="宋体" w:hAnsi="宋体" w:eastAsia="宋体"/>
          <w:b/>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19.</w:t>
      </w:r>
      <w:r>
        <w:rPr>
          <w:rFonts w:hint="eastAsia" w:ascii="宋体" w:hAnsi="宋体" w:eastAsia="宋体"/>
          <w:b/>
          <w:sz w:val="24"/>
          <w:szCs w:val="24"/>
        </w:rPr>
        <w:t xml:space="preserve">投标文件的递交</w:t>
      </w:r>
      <w:r>
        <w:rPr>
          <w:rFonts w:ascii="宋体" w:hAnsi="宋体" w:eastAsia="宋体"/>
          <w:b/>
          <w:sz w:val="24"/>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19</w:t>
      </w:r>
      <w:r>
        <w:rPr>
          <w:rFonts w:hint="eastAsia" w:ascii="宋体" w:hAnsi="宋体" w:eastAsia="宋体"/>
          <w:szCs w:val="24"/>
        </w:rPr>
        <w:t xml:space="preserve">.1投标单位应当在在投标截止时间前制作并上传电子投标文件。</w:t>
      </w:r>
      <w:r>
        <w:rPr>
          <w:rFonts w:ascii="宋体" w:hAnsi="宋体" w:eastAsia="宋体"/>
          <w:szCs w:val="24"/>
        </w:rPr>
      </w:r>
      <w:r/>
    </w:p>
    <w:p>
      <w:pPr>
        <w:pStyle w:val="723"/>
        <w:ind w:firstLine="480"/>
        <w:jc w:val="left"/>
        <w:spacing w:line="360" w:lineRule="auto"/>
        <w:rPr>
          <w:rFonts w:ascii="宋体" w:hAnsi="宋体" w:eastAsia="宋体"/>
          <w:b/>
          <w:bCs/>
          <w:sz w:val="24"/>
          <w:szCs w:val="24"/>
        </w:rPr>
      </w:pPr>
      <w:r>
        <w:rPr>
          <w:rFonts w:ascii="宋体" w:hAnsi="宋体" w:eastAsia="宋体"/>
          <w:sz w:val="24"/>
          <w:szCs w:val="24"/>
        </w:rPr>
        <w:t xml:space="preserve">19</w:t>
      </w:r>
      <w:r>
        <w:rPr>
          <w:rFonts w:hint="eastAsia" w:ascii="宋体" w:hAnsi="宋体" w:eastAsia="宋体"/>
          <w:sz w:val="24"/>
          <w:szCs w:val="24"/>
        </w:rPr>
        <w:t xml:space="preserve">.2投标单位通过</w:t>
      </w:r>
      <w:r>
        <w:rPr>
          <w:rFonts w:hint="eastAsia" w:ascii="宋体" w:hAnsi="宋体" w:eastAsia="宋体"/>
          <w:b/>
          <w:bCs/>
          <w:sz w:val="24"/>
          <w:szCs w:val="24"/>
        </w:rPr>
        <w:t xml:space="preserve">“苏采云”系统不见面开标大厅在线参与开标活动。（具体操作详见《苏采云系统供应商操作手册》，网址链接https://czju.suzhou.gov.cn/zfcg/html/content/20231220161910031.shtml）</w:t>
      </w:r>
      <w:r>
        <w:rPr>
          <w:rFonts w:ascii="宋体" w:hAnsi="宋体" w:eastAsia="宋体"/>
          <w:b/>
          <w:bCs/>
          <w:sz w:val="24"/>
          <w:szCs w:val="24"/>
        </w:rPr>
      </w:r>
      <w:r/>
    </w:p>
    <w:p>
      <w:pPr>
        <w:pStyle w:val="723"/>
        <w:jc w:val="left"/>
        <w:spacing w:line="360" w:lineRule="auto"/>
        <w:rPr>
          <w:rFonts w:ascii="宋体" w:hAnsi="宋体" w:eastAsia="宋体"/>
          <w:b/>
          <w:sz w:val="24"/>
          <w:szCs w:val="24"/>
        </w:rPr>
      </w:pPr>
      <w:r>
        <w:rPr>
          <w:rFonts w:ascii="宋体" w:hAnsi="宋体" w:eastAsia="宋体"/>
          <w:b/>
          <w:sz w:val="24"/>
          <w:szCs w:val="24"/>
        </w:rPr>
        <w:t xml:space="preserve">20.</w:t>
      </w:r>
      <w:r>
        <w:rPr>
          <w:rFonts w:hint="eastAsia" w:ascii="宋体" w:hAnsi="宋体" w:eastAsia="宋体"/>
          <w:b/>
          <w:sz w:val="24"/>
          <w:szCs w:val="24"/>
        </w:rPr>
        <w:t xml:space="preserve">投标截止时间</w:t>
      </w:r>
      <w:r>
        <w:rPr>
          <w:rFonts w:ascii="宋体" w:hAnsi="宋体" w:eastAsia="宋体"/>
          <w:b/>
          <w:sz w:val="24"/>
          <w:szCs w:val="24"/>
        </w:rPr>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0</w:t>
      </w:r>
      <w:r>
        <w:rPr>
          <w:rFonts w:hint="eastAsia" w:ascii="宋体" w:hAnsi="宋体" w:eastAsia="宋体"/>
          <w:szCs w:val="24"/>
        </w:rPr>
        <w:t xml:space="preserve">.1投标单位应当在招标文件要求投标文件网上提交截止时间前，将投标文件完成提交（上传）。逾期提交（上传）的投标文件，采购方和采购代理机构拒绝接收。</w:t>
      </w:r>
      <w:r>
        <w:rPr>
          <w:rFonts w:ascii="宋体" w:hAnsi="宋体" w:eastAsia="宋体"/>
          <w:szCs w:val="24"/>
        </w:rPr>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0</w:t>
      </w:r>
      <w:r>
        <w:rPr>
          <w:rFonts w:hint="eastAsia" w:ascii="宋体" w:hAnsi="宋体" w:eastAsia="宋体"/>
          <w:szCs w:val="24"/>
        </w:rPr>
        <w:t xml:space="preserve">.2采购方和采购代理机构推迟投标截止时间时，将按本须知规定的更正公告的方式对外发布。在这种情况下，采购方、采购代理机构和投标单位的权利和义务将受到新的截止期的约束。</w:t>
      </w:r>
      <w:r>
        <w:rPr>
          <w:rFonts w:ascii="宋体" w:hAnsi="宋体" w:eastAsia="宋体"/>
          <w:szCs w:val="24"/>
        </w:rPr>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0</w:t>
      </w:r>
      <w:r>
        <w:rPr>
          <w:rFonts w:hint="eastAsia" w:ascii="宋体" w:hAnsi="宋体" w:eastAsia="宋体"/>
          <w:szCs w:val="24"/>
        </w:rPr>
        <w:t xml:space="preserve">.3在投标截止时间止成功解密的投标文件少于三份，采购代理机构有权宣布本次招标失败。</w:t>
      </w:r>
      <w:r>
        <w:rPr>
          <w:rFonts w:ascii="宋体" w:hAnsi="宋体" w:eastAsia="宋体"/>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21.</w:t>
      </w:r>
      <w:r>
        <w:rPr>
          <w:rFonts w:hint="eastAsia" w:ascii="宋体" w:hAnsi="宋体" w:eastAsia="宋体"/>
          <w:b/>
          <w:sz w:val="24"/>
          <w:szCs w:val="24"/>
        </w:rPr>
        <w:t xml:space="preserve">投标文件的补充、修改和撤回</w:t>
      </w:r>
      <w:r>
        <w:rPr>
          <w:rFonts w:ascii="宋体" w:hAnsi="宋体" w:eastAsia="宋体"/>
          <w:b/>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21.1投标单位在投标文件网上提交截止时间前，可以对其电子投标文件进行补充、修改，具体操作方法见《苏采云系统供应商操作手册》。在投标文件网上提交截止时间之后，投标单位不得对其电子投标文件作任何修改。</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21.2投标单位在投标文件网上提交截止时间前，可以撤回其电子投标文件，具体操作方法见《苏采云系统供应商操作手册》。投标单位撤回电子投标文件，则认为其不再参与本项目投标活动。在投标截止时间至招标文件中规定的投标有效期满之间的这段时间内，投标单位不得撤回其投标。</w:t>
      </w:r>
      <w:r>
        <w:rPr>
          <w:rFonts w:ascii="宋体" w:hAnsi="宋体" w:eastAsia="宋体"/>
          <w:sz w:val="24"/>
          <w:szCs w:val="24"/>
        </w:rPr>
      </w:r>
      <w:r/>
    </w:p>
    <w:p>
      <w:pPr>
        <w:pStyle w:val="723"/>
        <w:spacing w:line="360" w:lineRule="auto"/>
        <w:rPr>
          <w:rFonts w:ascii="宋体" w:hAnsi="宋体" w:eastAsia="宋体"/>
          <w:b/>
          <w:sz w:val="24"/>
          <w:szCs w:val="24"/>
        </w:rPr>
      </w:pPr>
      <w:r>
        <w:rPr>
          <w:rFonts w:hint="eastAsia" w:ascii="宋体" w:hAnsi="宋体" w:eastAsia="宋体"/>
          <w:b/>
          <w:sz w:val="24"/>
          <w:szCs w:val="24"/>
        </w:rPr>
        <w:t xml:space="preserve">六、开标和评标</w:t>
      </w:r>
      <w:r>
        <w:rPr>
          <w:rFonts w:ascii="宋体" w:hAnsi="宋体" w:eastAsia="宋体"/>
          <w:b/>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22.</w:t>
      </w:r>
      <w:r>
        <w:rPr>
          <w:rFonts w:hint="eastAsia" w:ascii="宋体" w:hAnsi="宋体" w:eastAsia="宋体"/>
          <w:b/>
          <w:sz w:val="24"/>
          <w:szCs w:val="24"/>
        </w:rPr>
        <w:t xml:space="preserve">开标</w:t>
      </w:r>
      <w:r>
        <w:rPr>
          <w:rFonts w:ascii="宋体" w:hAnsi="宋体" w:eastAsia="宋体"/>
          <w:b/>
          <w:sz w:val="24"/>
          <w:szCs w:val="24"/>
        </w:rPr>
      </w:r>
      <w:r/>
    </w:p>
    <w:p>
      <w:pPr>
        <w:pStyle w:val="1061"/>
        <w:spacing w:line="360" w:lineRule="auto"/>
        <w:rPr>
          <w:rFonts w:ascii="宋体" w:hAnsi="宋体" w:cs="宋体"/>
          <w:color w:val="000000"/>
          <w:sz w:val="24"/>
          <w:szCs w:val="24"/>
        </w:rPr>
      </w:pPr>
      <w:r>
        <w:rPr>
          <w:rFonts w:hint="eastAsia" w:ascii="宋体" w:hAnsi="宋体" w:cs="宋体"/>
          <w:color w:val="000000"/>
          <w:sz w:val="24"/>
          <w:szCs w:val="24"/>
        </w:rPr>
        <w:t xml:space="preserve">22.1开标由采购代理机构</w:t>
      </w:r>
      <w:r>
        <w:rPr>
          <w:rFonts w:hint="eastAsia" w:ascii="宋体" w:hAnsi="宋体" w:cs="宋体"/>
          <w:color w:val="000000"/>
          <w:sz w:val="24"/>
          <w:szCs w:val="24"/>
          <w:lang w:val="en-US"/>
        </w:rPr>
        <w:t xml:space="preserve">在线</w:t>
      </w:r>
      <w:r>
        <w:rPr>
          <w:rFonts w:hint="eastAsia" w:ascii="宋体" w:hAnsi="宋体" w:cs="宋体"/>
          <w:color w:val="000000"/>
          <w:sz w:val="24"/>
          <w:szCs w:val="24"/>
        </w:rPr>
        <w:t xml:space="preserve">主持，邀请投标单位</w:t>
      </w:r>
      <w:r>
        <w:rPr>
          <w:rFonts w:hint="eastAsia" w:ascii="宋体" w:hAnsi="宋体" w:cs="宋体"/>
          <w:color w:val="000000"/>
          <w:sz w:val="24"/>
          <w:szCs w:val="24"/>
          <w:lang w:val="en-US"/>
        </w:rPr>
        <w:t xml:space="preserve">在线</w:t>
      </w:r>
      <w:r>
        <w:rPr>
          <w:rFonts w:hint="eastAsia" w:ascii="宋体" w:hAnsi="宋体" w:cs="宋体"/>
          <w:color w:val="000000"/>
          <w:sz w:val="24"/>
          <w:szCs w:val="24"/>
        </w:rPr>
        <w:t xml:space="preserve">参加。投标单位应当按照</w:t>
      </w:r>
      <w:r>
        <w:rPr>
          <w:rFonts w:hint="eastAsia" w:ascii="宋体" w:hAnsi="宋体"/>
          <w:color w:val="000000"/>
          <w:sz w:val="24"/>
          <w:szCs w:val="24"/>
        </w:rPr>
        <w:t xml:space="preserve">《苏采云系统供应商操作手册》</w:t>
      </w:r>
      <w:r>
        <w:rPr>
          <w:rFonts w:hint="eastAsia" w:ascii="宋体" w:hAnsi="宋体" w:cs="宋体"/>
          <w:color w:val="000000"/>
          <w:sz w:val="24"/>
          <w:szCs w:val="24"/>
        </w:rPr>
        <w:t xml:space="preserve">规定，</w:t>
      </w:r>
      <w:r>
        <w:rPr>
          <w:rFonts w:hint="eastAsia" w:ascii="宋体" w:hAnsi="宋体" w:cs="宋体"/>
          <w:b/>
          <w:color w:val="000000"/>
          <w:sz w:val="24"/>
          <w:szCs w:val="24"/>
        </w:rPr>
        <w:t xml:space="preserve">参加开标活动和在“苏采云”系统规定的时间内对投标文件进行解密</w:t>
      </w:r>
      <w:r>
        <w:rPr>
          <w:rFonts w:hint="eastAsia" w:ascii="宋体" w:hAnsi="宋体" w:cs="宋体"/>
          <w:color w:val="000000"/>
          <w:sz w:val="24"/>
          <w:szCs w:val="24"/>
        </w:rPr>
        <w:t xml:space="preserve">。评标委员会成员不得参加开标活动。</w:t>
      </w:r>
      <w:r>
        <w:rPr>
          <w:rFonts w:ascii="宋体" w:hAnsi="宋体" w:cs="宋体"/>
          <w:color w:val="000000"/>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2</w:t>
      </w:r>
      <w:r>
        <w:rPr>
          <w:rFonts w:hint="eastAsia" w:ascii="宋体" w:hAnsi="宋体" w:cs="宋体"/>
          <w:sz w:val="24"/>
          <w:szCs w:val="24"/>
        </w:rPr>
        <w:t xml:space="preserve">开标时，由采购代理机构</w:t>
      </w:r>
      <w:r>
        <w:rPr>
          <w:rFonts w:hint="eastAsia" w:ascii="宋体" w:hAnsi="宋体" w:cs="宋体"/>
          <w:sz w:val="24"/>
          <w:szCs w:val="24"/>
          <w:lang w:val="en-US"/>
        </w:rPr>
        <w:t xml:space="preserve">通过“苏采云”系统在线</w:t>
      </w:r>
      <w:r>
        <w:rPr>
          <w:rFonts w:hint="eastAsia" w:ascii="宋体" w:hAnsi="宋体" w:cs="宋体"/>
          <w:sz w:val="24"/>
          <w:szCs w:val="24"/>
        </w:rPr>
        <w:t xml:space="preserve">宣布投标单位名称、投标价格和招标文件规定的需要宣布的其他内容。</w:t>
      </w:r>
      <w:r>
        <w:rPr>
          <w:rFonts w:hint="eastAsia" w:ascii="宋体" w:hAnsi="宋体" w:cs="宋体"/>
          <w:sz w:val="24"/>
          <w:szCs w:val="24"/>
          <w:lang w:val="en-US"/>
        </w:rPr>
        <w:t xml:space="preserve">投标单位在不见面开标系统中确认投标价格，如</w:t>
      </w:r>
      <w:r>
        <w:rPr>
          <w:rFonts w:hint="eastAsia" w:ascii="宋体" w:hAnsi="宋体" w:cs="宋体"/>
          <w:sz w:val="24"/>
          <w:szCs w:val="24"/>
        </w:rPr>
        <w:t xml:space="preserve">投标单位未</w:t>
      </w:r>
      <w:r>
        <w:rPr>
          <w:rFonts w:hint="eastAsia" w:ascii="宋体" w:hAnsi="宋体" w:cs="宋体"/>
          <w:sz w:val="24"/>
          <w:szCs w:val="24"/>
          <w:lang w:val="en-US"/>
        </w:rPr>
        <w:t xml:space="preserve">在线</w:t>
      </w:r>
      <w:r>
        <w:rPr>
          <w:rFonts w:hint="eastAsia" w:ascii="宋体" w:hAnsi="宋体" w:cs="宋体"/>
          <w:sz w:val="24"/>
          <w:szCs w:val="24"/>
        </w:rPr>
        <w:t xml:space="preserve">参加开标</w:t>
      </w:r>
      <w:r>
        <w:rPr>
          <w:rFonts w:hint="eastAsia" w:ascii="宋体" w:hAnsi="宋体" w:cs="宋体"/>
          <w:sz w:val="24"/>
          <w:szCs w:val="24"/>
          <w:lang w:val="en-US"/>
        </w:rPr>
        <w:t xml:space="preserve">或未在规定时间内确认价格</w:t>
      </w:r>
      <w:r>
        <w:rPr>
          <w:rFonts w:hint="eastAsia" w:ascii="宋体" w:hAnsi="宋体" w:cs="宋体"/>
          <w:sz w:val="24"/>
          <w:szCs w:val="24"/>
        </w:rPr>
        <w:t xml:space="preserve">的，视同认可开标结果。</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资格审查</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.1公开招标采购项目开标结束后，采购</w:t>
      </w:r>
      <w:r>
        <w:rPr>
          <w:rFonts w:hint="eastAsia" w:ascii="宋体" w:hAnsi="宋体" w:cs="宋体"/>
          <w:sz w:val="24"/>
          <w:szCs w:val="24"/>
          <w:lang w:val="en-US"/>
        </w:rPr>
        <w:t xml:space="preserve">方</w:t>
      </w:r>
      <w:r>
        <w:rPr>
          <w:rFonts w:hint="eastAsia" w:ascii="宋体" w:hAnsi="宋体" w:cs="宋体"/>
          <w:sz w:val="24"/>
          <w:szCs w:val="24"/>
        </w:rPr>
        <w:t xml:space="preserve">应当依法对投标单位的资格进行审查，未通过资格审查的视为无效投标。</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.2根据政府采购法及相关法规，以及苏州市财政局《关于印发苏州市市级政府采购信用记录查询和使用工作试行办法的通知》（苏财购（2017）11号）文件的规定，采购代理机构将对供应商进行信用查询：</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.2.1查询时间：投标文件递交截止时间。</w:t>
      </w:r>
      <w:r>
        <w:rPr>
          <w:rFonts w:ascii="宋体" w:hAnsi="宋体" w:cs="宋体"/>
          <w:sz w:val="24"/>
          <w:szCs w:val="24"/>
        </w:rPr>
      </w:r>
      <w:r/>
    </w:p>
    <w:p>
      <w:pPr>
        <w:pStyle w:val="1061"/>
        <w:spacing w:line="360" w:lineRule="auto"/>
        <w:rPr>
          <w:rFonts w:ascii="宋体" w:hAnsi="宋体" w:cs="宋体"/>
          <w:b/>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.2.2查询渠道</w:t>
      </w:r>
      <w:r>
        <w:rPr>
          <w:rFonts w:hint="eastAsia" w:ascii="宋体" w:hAnsi="宋体" w:cs="宋体"/>
          <w:b/>
          <w:sz w:val="24"/>
          <w:szCs w:val="24"/>
        </w:rPr>
        <w:t xml:space="preserve">：</w:t>
      </w:r>
      <w:r>
        <w:rPr>
          <w:rFonts w:hint="eastAsia" w:ascii="宋体" w:hAnsi="宋体" w:cs="宋体"/>
          <w:color w:val="000000"/>
          <w:sz w:val="24"/>
          <w:szCs w:val="24"/>
        </w:rPr>
        <w:t xml:space="preserve">采购代理机构会在接收投标文件截止时间后，登录</w:t>
      </w:r>
      <w:r>
        <w:rPr>
          <w:rFonts w:ascii="宋体" w:hAnsi="宋体" w:cs="宋体"/>
          <w:color w:val="000000"/>
          <w:sz w:val="24"/>
          <w:szCs w:val="24"/>
        </w:rPr>
        <w:t xml:space="preserve">信用中国</w:t>
      </w:r>
      <w:r>
        <w:rPr>
          <w:rFonts w:hint="eastAsia" w:ascii="宋体" w:hAnsi="宋体" w:cs="宋体"/>
          <w:color w:val="000000"/>
          <w:sz w:val="24"/>
          <w:szCs w:val="24"/>
        </w:rPr>
        <w:t xml:space="preserve">网站</w:t>
      </w:r>
      <w:r>
        <w:rPr>
          <w:rFonts w:ascii="宋体" w:hAnsi="宋体" w:cs="宋体"/>
          <w:color w:val="000000"/>
          <w:sz w:val="24"/>
          <w:szCs w:val="24"/>
        </w:rPr>
        <w:t xml:space="preserve">（www.creditchina.gov.cn）</w:t>
      </w:r>
      <w:r>
        <w:rPr>
          <w:rFonts w:hint="eastAsia" w:ascii="宋体" w:hAnsi="宋体" w:cs="宋体"/>
          <w:color w:val="000000"/>
          <w:sz w:val="24"/>
          <w:szCs w:val="24"/>
        </w:rPr>
        <w:t xml:space="preserve">和中国政府采购网（</w:t>
      </w:r>
      <w:r>
        <w:rPr>
          <w:rFonts w:ascii="宋体" w:hAnsi="宋体" w:cs="宋体"/>
          <w:color w:val="000000"/>
          <w:sz w:val="24"/>
          <w:szCs w:val="24"/>
        </w:rPr>
        <w:t xml:space="preserve">www.ccgp.gov.cn/</w:t>
      </w:r>
      <w:r>
        <w:rPr>
          <w:rFonts w:hint="eastAsia" w:ascii="宋体" w:hAnsi="宋体" w:cs="宋体"/>
          <w:color w:val="000000"/>
          <w:sz w:val="24"/>
          <w:szCs w:val="24"/>
        </w:rPr>
        <w:t xml:space="preserve">）</w:t>
      </w:r>
      <w:r>
        <w:rPr>
          <w:rFonts w:ascii="宋体" w:hAnsi="宋体" w:cs="宋体"/>
          <w:color w:val="000000"/>
          <w:sz w:val="24"/>
          <w:szCs w:val="24"/>
        </w:rPr>
        <w:t xml:space="preserve">查询供应商的信用记录，并将查询结果递交</w:t>
      </w:r>
      <w:r>
        <w:rPr>
          <w:rFonts w:hint="eastAsia" w:ascii="宋体" w:hAnsi="宋体" w:cs="宋体"/>
          <w:color w:val="000000"/>
          <w:sz w:val="24"/>
          <w:szCs w:val="24"/>
        </w:rPr>
        <w:t xml:space="preserve">评标委员会。</w:t>
      </w:r>
      <w:r>
        <w:rPr>
          <w:rFonts w:ascii="宋体" w:hAnsi="宋体" w:cs="宋体"/>
          <w:b/>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cs="宋体"/>
          <w:sz w:val="24"/>
          <w:szCs w:val="24"/>
        </w:rPr>
      </w:r>
      <w:r/>
    </w:p>
    <w:p>
      <w:pPr>
        <w:pStyle w:val="1061"/>
        <w:ind w:firstLine="482"/>
        <w:spacing w:line="360" w:lineRule="auto"/>
        <w:rPr>
          <w:rFonts w:ascii="宋体" w:hAnsi="宋体" w:cs="宋体"/>
          <w:b/>
          <w:sz w:val="24"/>
          <w:szCs w:val="24"/>
        </w:rPr>
      </w:pPr>
      <w:r>
        <w:rPr>
          <w:rFonts w:hint="eastAsia" w:ascii="宋体" w:hAnsi="宋体" w:cs="宋体"/>
          <w:b/>
          <w:sz w:val="24"/>
          <w:szCs w:val="24"/>
        </w:rPr>
        <w:t xml:space="preserve">22.</w:t>
      </w:r>
      <w:r>
        <w:rPr>
          <w:rFonts w:ascii="宋体" w:hAnsi="宋体" w:cs="宋体"/>
          <w:b/>
          <w:sz w:val="24"/>
          <w:szCs w:val="24"/>
        </w:rPr>
        <w:t xml:space="preserve">3.4</w:t>
      </w:r>
      <w:r>
        <w:rPr>
          <w:rFonts w:hint="eastAsia" w:ascii="宋体" w:hAnsi="宋体" w:cs="宋体"/>
          <w:b/>
          <w:sz w:val="24"/>
          <w:szCs w:val="24"/>
        </w:rPr>
        <w:t xml:space="preserve">经查询，投标单位被“信用中国”网站、“中国政府采购网”列入失信被执行人或重大税收违法案件当事人名单或政府采购严重失信行为记录名单，或查询“信用中国”网站、“中国政府采购网”后发现投标单位存在其他不符合《中华人民共和国政府采购法》第二十二条规定条件的信用记录，其投标无效。</w:t>
      </w:r>
      <w:r>
        <w:rPr>
          <w:rFonts w:ascii="宋体" w:hAnsi="宋体" w:cs="宋体"/>
          <w:b/>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23.</w:t>
      </w:r>
      <w:r>
        <w:rPr>
          <w:rFonts w:hint="eastAsia" w:ascii="宋体" w:hAnsi="宋体" w:eastAsia="宋体"/>
          <w:b/>
          <w:sz w:val="24"/>
          <w:szCs w:val="24"/>
        </w:rPr>
        <w:t xml:space="preserve">评标委员会或评标小组</w:t>
      </w:r>
      <w:r>
        <w:rPr>
          <w:rFonts w:ascii="宋体" w:hAnsi="宋体" w:eastAsia="宋体"/>
          <w:b/>
          <w:sz w:val="24"/>
          <w:szCs w:val="24"/>
        </w:rPr>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.1评标委员会由采购方或采购代理机构依法组建。</w:t>
      </w:r>
      <w:r>
        <w:rPr>
          <w:rFonts w:ascii="宋体" w:hAnsi="宋体" w:eastAsia="宋体"/>
          <w:szCs w:val="24"/>
        </w:rPr>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.2评标委员会负责具体的评标事务，并独立履行以下职责：</w:t>
      </w:r>
      <w:r>
        <w:rPr>
          <w:rFonts w:ascii="宋体" w:hAnsi="宋体" w:eastAsia="宋体"/>
          <w:szCs w:val="24"/>
        </w:rPr>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.2.1</w:t>
      </w:r>
      <w:r>
        <w:rPr>
          <w:rFonts w:ascii="宋体" w:hAnsi="宋体" w:eastAsia="宋体"/>
          <w:szCs w:val="24"/>
        </w:rPr>
        <w:t xml:space="preserve">审查、评价投标文件是否符合招标文件的商务、技术等实质性要求；</w:t>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.2.2</w:t>
      </w:r>
      <w:r>
        <w:rPr>
          <w:rFonts w:ascii="宋体" w:hAnsi="宋体" w:eastAsia="宋体"/>
          <w:szCs w:val="24"/>
        </w:rPr>
        <w:t xml:space="preserve">要求</w:t>
      </w:r>
      <w:r>
        <w:rPr>
          <w:rFonts w:hint="eastAsia" w:ascii="宋体" w:hAnsi="宋体" w:eastAsia="宋体"/>
          <w:szCs w:val="24"/>
        </w:rPr>
        <w:t xml:space="preserve">投标单位</w:t>
      </w:r>
      <w:r>
        <w:rPr>
          <w:rFonts w:ascii="宋体" w:hAnsi="宋体" w:eastAsia="宋体"/>
          <w:szCs w:val="24"/>
        </w:rPr>
        <w:t xml:space="preserve">对投标文件有关事项作出澄清或者说明；</w:t>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.2.3</w:t>
      </w:r>
      <w:r>
        <w:rPr>
          <w:rFonts w:ascii="宋体" w:hAnsi="宋体" w:eastAsia="宋体"/>
          <w:szCs w:val="24"/>
        </w:rPr>
        <w:t xml:space="preserve">对投标文件进行比较和评价；</w:t>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.2.4</w:t>
      </w:r>
      <w:r>
        <w:rPr>
          <w:rFonts w:ascii="宋体" w:hAnsi="宋体" w:eastAsia="宋体"/>
          <w:szCs w:val="24"/>
        </w:rPr>
        <w:t xml:space="preserve">确定中标候选人名单，以及根据</w:t>
      </w:r>
      <w:r>
        <w:rPr>
          <w:rFonts w:hint="eastAsia" w:ascii="宋体" w:hAnsi="宋体" w:eastAsia="宋体"/>
          <w:szCs w:val="24"/>
        </w:rPr>
        <w:t xml:space="preserve">采购方</w:t>
      </w:r>
      <w:r>
        <w:rPr>
          <w:rFonts w:ascii="宋体" w:hAnsi="宋体" w:eastAsia="宋体"/>
          <w:szCs w:val="24"/>
        </w:rPr>
        <w:t xml:space="preserve">委托直接确定中标人；</w:t>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.2.5</w:t>
      </w:r>
      <w:r>
        <w:rPr>
          <w:rFonts w:ascii="宋体" w:hAnsi="宋体" w:eastAsia="宋体"/>
          <w:szCs w:val="24"/>
        </w:rPr>
        <w:t xml:space="preserve">向</w:t>
      </w:r>
      <w:r>
        <w:rPr>
          <w:rFonts w:hint="eastAsia" w:ascii="宋体" w:hAnsi="宋体" w:eastAsia="宋体"/>
          <w:szCs w:val="24"/>
        </w:rPr>
        <w:t xml:space="preserve">采购方</w:t>
      </w:r>
      <w:r>
        <w:rPr>
          <w:rFonts w:ascii="宋体" w:hAnsi="宋体" w:eastAsia="宋体"/>
          <w:szCs w:val="24"/>
        </w:rPr>
        <w:t xml:space="preserve">、采购代理机构或者有关部门报告评标中发现的违法行为</w:t>
      </w:r>
      <w:r>
        <w:rPr>
          <w:rFonts w:hint="eastAsia" w:ascii="宋体" w:hAnsi="宋体" w:eastAsia="宋体"/>
          <w:szCs w:val="24"/>
        </w:rPr>
        <w:t xml:space="preserve">。</w:t>
      </w:r>
      <w:r>
        <w:rPr>
          <w:rFonts w:ascii="宋体" w:hAnsi="宋体" w:eastAsia="宋体"/>
          <w:szCs w:val="24"/>
        </w:rPr>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.3评标委员会成员应当履行下列义务：</w:t>
      </w:r>
      <w:r>
        <w:rPr>
          <w:rFonts w:ascii="宋体" w:hAnsi="宋体" w:eastAsia="宋体"/>
          <w:szCs w:val="24"/>
        </w:rPr>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.3.1遵纪守法，客观、公正、廉洁地履行职责；</w:t>
      </w:r>
      <w:r>
        <w:rPr>
          <w:rFonts w:ascii="宋体" w:hAnsi="宋体" w:eastAsia="宋体"/>
          <w:szCs w:val="24"/>
        </w:rPr>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.3.2按照招标文件规定的评标办法和评标标准进行评标，对评审意见承担个人责任；</w:t>
      </w:r>
      <w:r>
        <w:rPr>
          <w:rFonts w:ascii="宋体" w:hAnsi="宋体" w:eastAsia="宋体"/>
          <w:szCs w:val="24"/>
        </w:rPr>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.3.3对评标过程和结果，以及投标单位的商业秘密保密；</w:t>
      </w:r>
      <w:r>
        <w:rPr>
          <w:rFonts w:ascii="宋体" w:hAnsi="宋体" w:eastAsia="宋体"/>
          <w:szCs w:val="24"/>
        </w:rPr>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.3.4参与评审报告的起草；</w:t>
      </w:r>
      <w:r>
        <w:rPr>
          <w:rFonts w:ascii="宋体" w:hAnsi="宋体" w:eastAsia="宋体"/>
          <w:szCs w:val="24"/>
        </w:rPr>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.3.5配合相关部门的投诉处理工作；</w:t>
      </w:r>
      <w:r>
        <w:rPr>
          <w:rFonts w:ascii="宋体" w:hAnsi="宋体" w:eastAsia="宋体"/>
          <w:szCs w:val="24"/>
        </w:rPr>
      </w:r>
      <w:r/>
    </w:p>
    <w:p>
      <w:pPr>
        <w:pStyle w:val="74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.3.6配合采购方或采购代理机构答复投标供应商提出的质疑。</w:t>
      </w:r>
      <w:r>
        <w:rPr>
          <w:rFonts w:ascii="宋体" w:hAnsi="宋体" w:eastAsia="宋体"/>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24.</w:t>
      </w:r>
      <w:r>
        <w:rPr>
          <w:rFonts w:hint="eastAsia" w:ascii="宋体" w:hAnsi="宋体" w:eastAsia="宋体"/>
          <w:b/>
          <w:sz w:val="24"/>
          <w:szCs w:val="24"/>
        </w:rPr>
        <w:t xml:space="preserve">评标内容的保密</w:t>
      </w:r>
      <w:r>
        <w:rPr>
          <w:rFonts w:ascii="宋体" w:hAnsi="宋体" w:eastAsia="宋体"/>
          <w:b/>
          <w:sz w:val="24"/>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24.1</w:t>
      </w:r>
      <w:r>
        <w:rPr>
          <w:rFonts w:hint="eastAsia" w:ascii="宋体" w:hAnsi="宋体" w:eastAsia="宋体"/>
          <w:szCs w:val="24"/>
        </w:rPr>
        <w:t xml:space="preserve">公开开标后，直到宣布授予中标单位合同为止，凡属于审查、澄清、评价和比较投标的所有资料，有关授予合同的信息都不应向投标单位或与评标无关的其他人泄露。</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24.2</w:t>
      </w:r>
      <w:r>
        <w:rPr>
          <w:rFonts w:hint="eastAsia" w:ascii="宋体" w:hAnsi="宋体" w:eastAsia="宋体"/>
          <w:szCs w:val="24"/>
        </w:rPr>
        <w:t xml:space="preserve">在投标文件的审查、澄清、评价和比较以及授予合同的过程中，投标单位对采购方或采购代理机构和评标委员会成员施加影响的任何行为，都将取消其中标资格。</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24.3</w:t>
      </w:r>
      <w:r>
        <w:rPr>
          <w:rFonts w:hint="eastAsia" w:ascii="宋体" w:hAnsi="宋体" w:eastAsia="宋体"/>
          <w:szCs w:val="24"/>
        </w:rPr>
        <w:t xml:space="preserve">在评标期间，采购方或采购代理机构将通过指定联络人与投标单位进行联系。</w:t>
      </w:r>
      <w:r>
        <w:rPr>
          <w:rFonts w:ascii="宋体" w:hAnsi="宋体" w:eastAsia="宋体"/>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25.</w:t>
      </w:r>
      <w:r>
        <w:rPr>
          <w:rFonts w:hint="eastAsia" w:ascii="宋体" w:hAnsi="宋体" w:eastAsia="宋体"/>
          <w:b/>
          <w:sz w:val="24"/>
          <w:szCs w:val="24"/>
        </w:rPr>
        <w:t xml:space="preserve">对投标文件初审</w:t>
      </w:r>
      <w:r>
        <w:rPr>
          <w:rFonts w:ascii="宋体" w:hAnsi="宋体" w:eastAsia="宋体"/>
          <w:b/>
          <w:sz w:val="24"/>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t xml:space="preserve">25.1</w:t>
      </w:r>
      <w:r>
        <w:rPr>
          <w:rFonts w:hint="eastAsia" w:ascii="宋体" w:hAnsi="宋体" w:eastAsia="宋体"/>
          <w:sz w:val="24"/>
          <w:szCs w:val="24"/>
        </w:rPr>
        <w:t xml:space="preserve">开标后，评标委员会在初审过程中有权拒绝有下列情况之一的投标文件：</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投标单位的投标文件未按照本须知规定制作的；</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2与招标文件有重大偏离；</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3投标单位拒绝修正错误；</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4投标单位的报价是选择性的；</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5投标单位的报价只投了部分内容；</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.1.6投标单位的投标文件出现了评标委员会认为不应当雷同的情况；</w:t>
      </w:r>
      <w:r>
        <w:rPr>
          <w:rFonts w:ascii="宋体" w:hAnsi="宋体" w:eastAsia="宋体"/>
          <w:sz w:val="24"/>
          <w:szCs w:val="24"/>
        </w:rPr>
      </w:r>
      <w:r/>
    </w:p>
    <w:p>
      <w:pPr>
        <w:pStyle w:val="723"/>
        <w:ind w:firstLine="480"/>
        <w:spacing w:line="360" w:lineRule="auto"/>
        <w:rPr>
          <w:rFonts w:ascii="宋体" w:hAnsi="宋体" w:eastAsia="宋体"/>
          <w:b/>
          <w:sz w:val="24"/>
          <w:szCs w:val="24"/>
          <w:u w:val="single"/>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.1.7其他被评标委员会认定无效的情况。</w:t>
      </w:r>
      <w:r>
        <w:rPr>
          <w:rFonts w:ascii="宋体" w:hAnsi="宋体" w:eastAsia="宋体"/>
          <w:b/>
          <w:sz w:val="24"/>
          <w:szCs w:val="24"/>
          <w:u w:val="single"/>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.2</w:t>
      </w:r>
      <w:r>
        <w:rPr>
          <w:rFonts w:ascii="宋体" w:hAnsi="宋体" w:eastAsia="宋体"/>
          <w:sz w:val="24"/>
          <w:szCs w:val="24"/>
        </w:rPr>
        <w:t xml:space="preserve">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w:t>
      </w:r>
      <w:r>
        <w:rPr>
          <w:rFonts w:hint="eastAsia" w:ascii="宋体" w:hAnsi="宋体" w:eastAsia="宋体"/>
          <w:sz w:val="24"/>
          <w:szCs w:val="24"/>
        </w:rPr>
        <w:t xml:space="preserve">投标单位</w:t>
      </w:r>
      <w:r>
        <w:rPr>
          <w:rFonts w:ascii="宋体" w:hAnsi="宋体" w:eastAsia="宋体"/>
          <w:sz w:val="24"/>
          <w:szCs w:val="24"/>
        </w:rPr>
        <w:t xml:space="preserve">的义务。这些偏离或保留将会对其他实质上响应要求的</w:t>
      </w:r>
      <w:r>
        <w:rPr>
          <w:rFonts w:hint="eastAsia" w:ascii="宋体" w:hAnsi="宋体" w:eastAsia="宋体"/>
          <w:sz w:val="24"/>
          <w:szCs w:val="24"/>
        </w:rPr>
        <w:t xml:space="preserve">投标单位</w:t>
      </w:r>
      <w:r>
        <w:rPr>
          <w:rFonts w:ascii="宋体" w:hAnsi="宋体" w:eastAsia="宋体"/>
          <w:sz w:val="24"/>
          <w:szCs w:val="24"/>
        </w:rPr>
        <w:t xml:space="preserve">的竞争地位产生不公正的影响。</w:t>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3评标委员会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rPr>
          <w:rFonts w:ascii="宋体" w:hAnsi="宋体" w:eastAsia="宋体"/>
          <w:sz w:val="24"/>
          <w:szCs w:val="24"/>
        </w:rPr>
      </w:r>
      <w:r/>
    </w:p>
    <w:p>
      <w:pPr>
        <w:pStyle w:val="723"/>
        <w:ind w:firstLine="480"/>
        <w:spacing w:line="360" w:lineRule="auto"/>
        <w:tabs>
          <w:tab w:val="left" w:pos="0" w:leader="none"/>
        </w:tabs>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.4评标委员会</w:t>
      </w:r>
      <w:r>
        <w:rPr>
          <w:rFonts w:ascii="宋体" w:hAnsi="宋体" w:eastAsia="宋体"/>
          <w:sz w:val="24"/>
          <w:szCs w:val="24"/>
        </w:rPr>
        <w:t xml:space="preserve">将拒绝被确定为非实质性响应的投标，</w:t>
      </w:r>
      <w:r>
        <w:rPr>
          <w:rFonts w:hint="eastAsia" w:ascii="宋体" w:hAnsi="宋体" w:eastAsia="宋体"/>
          <w:sz w:val="24"/>
          <w:szCs w:val="24"/>
        </w:rPr>
        <w:t xml:space="preserve">投标单位</w:t>
      </w:r>
      <w:r>
        <w:rPr>
          <w:rFonts w:ascii="宋体" w:hAnsi="宋体" w:eastAsia="宋体"/>
          <w:sz w:val="24"/>
          <w:szCs w:val="24"/>
        </w:rPr>
        <w:t xml:space="preserve">不能通过修正或撤销不符之处而使其投标成为实质性响应的投标</w:t>
      </w:r>
      <w:r>
        <w:rPr>
          <w:rFonts w:hint="eastAsia" w:ascii="宋体" w:hAnsi="宋体" w:eastAsia="宋体"/>
          <w:sz w:val="24"/>
          <w:szCs w:val="24"/>
        </w:rPr>
        <w:t xml:space="preserve">。</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.5评标委员会将对确定为实质性响应的投标进行审核，看其是否有计算上或累加上的算术错误。投标文件报价出现前后不一致的，除招标文件另有规定外，按照下列规定修正：</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（一）投标文件中开标一览表（报价表）内容与投标文件中相应内容不一致的，以开标一览表（报价表）为准；</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（二）大写金额和小写金额不一致的，以大写金额为准；</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（三）单价金额小数点或者百分比有明显错位的，以开标一览表的总价为准，并修改单价；</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（四）总价金额与按单价汇总金额不一致的，以单价金额计算结果为准。</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同时出现两种以上不一致的，按照前款规定的顺序修正。修正后的报价按照中华人民共和国财政部令87号《政府采购货物和服务招标投标管理办法》第五十一条第二款的规定经投标单位确认后产生约束力，投标单位不确认的，其投标无效。</w:t>
      </w:r>
      <w:r>
        <w:rPr>
          <w:rFonts w:ascii="宋体" w:hAnsi="宋体" w:eastAsia="宋体"/>
          <w:sz w:val="24"/>
          <w:szCs w:val="24"/>
        </w:rPr>
      </w:r>
      <w:r/>
    </w:p>
    <w:p>
      <w:pPr>
        <w:pStyle w:val="723"/>
        <w:ind w:firstLine="480"/>
        <w:spacing w:line="360" w:lineRule="auto"/>
        <w:tabs>
          <w:tab w:val="left" w:pos="0" w:leader="none"/>
        </w:tabs>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6评标委员会对投标文件的判定，只依据投标内容本身，不依靠开标后的任何外来证明。</w:t>
      </w:r>
      <w:r>
        <w:rPr>
          <w:rFonts w:ascii="宋体" w:hAnsi="宋体" w:eastAsia="宋体"/>
          <w:sz w:val="24"/>
          <w:szCs w:val="24"/>
        </w:rPr>
      </w:r>
      <w:r/>
    </w:p>
    <w:p>
      <w:pPr>
        <w:pStyle w:val="1061"/>
        <w:spacing w:line="360" w:lineRule="auto"/>
        <w:rPr>
          <w:rFonts w:ascii="宋体" w:hAnsi="宋体" w:cs="宋体"/>
          <w:b/>
          <w:bCs/>
          <w:sz w:val="24"/>
          <w:szCs w:val="24"/>
        </w:rPr>
      </w:pPr>
      <w:r>
        <w:rPr>
          <w:rFonts w:hint="eastAsia" w:ascii="宋体" w:hAnsi="宋体" w:cs="宋体"/>
          <w:sz w:val="24"/>
          <w:szCs w:val="24"/>
        </w:rPr>
        <w:t xml:space="preserve">25.7</w:t>
      </w:r>
      <w:r>
        <w:rPr>
          <w:rFonts w:hint="eastAsia" w:ascii="宋体" w:hAnsi="宋体" w:cs="宋体"/>
          <w:b/>
          <w:bCs/>
          <w:sz w:val="24"/>
          <w:szCs w:val="24"/>
        </w:rPr>
        <w:t xml:space="preserve">评审过程中出现下列情形之一的，评审委员会应当启动异常低价投标（响应）审查程序：</w:t>
      </w:r>
      <w:r>
        <w:rPr>
          <w:rFonts w:ascii="宋体" w:hAnsi="宋体" w:cs="宋体"/>
          <w:b/>
          <w:bCs/>
          <w:sz w:val="24"/>
          <w:szCs w:val="24"/>
        </w:rPr>
      </w:r>
      <w:r/>
    </w:p>
    <w:p>
      <w:pPr>
        <w:pStyle w:val="1061"/>
        <w:spacing w:line="360" w:lineRule="auto"/>
        <w:rPr>
          <w:rFonts w:ascii="宋体" w:hAnsi="宋体" w:cs="宋体"/>
          <w:b/>
          <w:bCs/>
          <w:sz w:val="24"/>
          <w:szCs w:val="24"/>
        </w:rPr>
      </w:pPr>
      <w:r>
        <w:rPr>
          <w:rFonts w:hint="eastAsia" w:ascii="宋体" w:hAnsi="宋体" w:cs="宋体"/>
          <w:b/>
          <w:bCs/>
          <w:sz w:val="24"/>
          <w:szCs w:val="24"/>
        </w:rPr>
        <w:t xml:space="preserve">（1）投标（响应）报价低于采购项目预算50%的，即投标（响应）报价&lt;采购项目预算×50% ；</w:t>
      </w:r>
      <w:r>
        <w:rPr>
          <w:rFonts w:ascii="宋体" w:hAnsi="宋体" w:cs="宋体"/>
          <w:b/>
          <w:bCs/>
          <w:sz w:val="24"/>
          <w:szCs w:val="24"/>
        </w:rPr>
      </w:r>
      <w:r/>
    </w:p>
    <w:p>
      <w:pPr>
        <w:pStyle w:val="1061"/>
        <w:spacing w:line="360" w:lineRule="auto"/>
        <w:rPr>
          <w:rFonts w:ascii="宋体" w:hAnsi="宋体" w:cs="宋体"/>
          <w:b/>
          <w:bCs/>
          <w:sz w:val="24"/>
          <w:szCs w:val="24"/>
        </w:rPr>
      </w:pPr>
      <w:r>
        <w:rPr>
          <w:rFonts w:hint="eastAsia" w:ascii="宋体" w:hAnsi="宋体" w:cs="宋体"/>
          <w:b/>
          <w:bCs/>
          <w:sz w:val="24"/>
          <w:szCs w:val="24"/>
        </w:rPr>
        <w:t xml:space="preserve">（2）投标（响应）报价低于采购项目最高限价45%的，即投标（响应）报价&lt;采购项目最高限价×45% ；</w:t>
      </w:r>
      <w:r>
        <w:rPr>
          <w:rFonts w:ascii="宋体" w:hAnsi="宋体" w:cs="宋体"/>
          <w:b/>
          <w:bCs/>
          <w:sz w:val="24"/>
          <w:szCs w:val="24"/>
        </w:rPr>
      </w:r>
      <w:r/>
    </w:p>
    <w:p>
      <w:pPr>
        <w:pStyle w:val="1061"/>
        <w:spacing w:line="360" w:lineRule="auto"/>
        <w:rPr>
          <w:rFonts w:ascii="宋体" w:hAnsi="宋体" w:cs="宋体"/>
          <w:b/>
          <w:bCs/>
          <w:sz w:val="24"/>
          <w:szCs w:val="24"/>
        </w:rPr>
      </w:pPr>
      <w:r>
        <w:rPr>
          <w:rFonts w:hint="eastAsia" w:ascii="宋体" w:hAnsi="宋体" w:cs="宋体"/>
          <w:b/>
          <w:bCs/>
          <w:sz w:val="24"/>
          <w:szCs w:val="24"/>
        </w:rPr>
        <w:t xml:space="preserve">（3）评审委员会认定的供应商报价过低、有可能影响产品质量或者不能诚信履约的其他情形。</w:t>
      </w:r>
      <w:r>
        <w:rPr>
          <w:rFonts w:ascii="宋体" w:hAnsi="宋体" w:cs="宋体"/>
          <w:b/>
          <w:bCs/>
          <w:sz w:val="24"/>
          <w:szCs w:val="24"/>
        </w:rPr>
      </w:r>
      <w:r/>
    </w:p>
    <w:p>
      <w:pPr>
        <w:pStyle w:val="1061"/>
        <w:spacing w:line="360" w:lineRule="auto"/>
        <w:rPr>
          <w:rFonts w:ascii="宋体" w:hAnsi="宋体" w:cs="宋体"/>
          <w:sz w:val="24"/>
          <w:szCs w:val="24"/>
        </w:rPr>
      </w:pPr>
      <w:r>
        <w:rPr>
          <w:rFonts w:hint="eastAsia" w:ascii="宋体" w:hAnsi="宋体" w:cs="宋体"/>
          <w:b/>
          <w:bCs/>
          <w:sz w:val="24"/>
          <w:szCs w:val="24"/>
        </w:rPr>
        <w:t xml:space="preserve">启动异常低价投标（响应）审查后，评审委员会应当要求相关供应商在评标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 25.8评标委员会成员对需要共同认定的事项存在争议的，应当按照少数服从多数的原则作出结论。持不同意见的评标委员会成员应当在评标报告上签署不同意见及理由，否则视为同意评标报告。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26.</w:t>
      </w:r>
      <w:r>
        <w:rPr>
          <w:rFonts w:hint="eastAsia" w:ascii="宋体" w:hAnsi="宋体" w:eastAsia="宋体"/>
          <w:b/>
          <w:sz w:val="24"/>
          <w:szCs w:val="24"/>
        </w:rPr>
        <w:t xml:space="preserve">投标的澄清</w:t>
      </w:r>
      <w:r>
        <w:rPr>
          <w:rFonts w:ascii="宋体" w:hAnsi="宋体" w:eastAsia="宋体"/>
          <w:b/>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.1对于投标文件中含义不明确、同类问题表述不一致或者有明显文字和计算错误的内容，评标委员会应当以书面形式要求投标单位作出必要的澄清、说明或者补正。</w:t>
      </w:r>
      <w:r>
        <w:rPr>
          <w:rFonts w:ascii="宋体" w:hAnsi="宋体" w:eastAsia="宋体"/>
          <w:sz w:val="24"/>
          <w:szCs w:val="24"/>
        </w:rPr>
      </w:r>
      <w:r/>
    </w:p>
    <w:p>
      <w:pPr>
        <w:pStyle w:val="1061"/>
        <w:spacing w:line="360" w:lineRule="auto"/>
        <w:rPr>
          <w:rFonts w:ascii="宋体" w:hAnsi="宋体" w:cs="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w:t>
      </w:r>
      <w:r>
        <w:rPr>
          <w:rFonts w:hint="eastAsia" w:ascii="宋体" w:hAnsi="宋体" w:cs="宋体"/>
          <w:sz w:val="24"/>
          <w:szCs w:val="24"/>
        </w:rPr>
        <w:t xml:space="preserve">投标单位的澄清、说明或者补正应当采用书面形式，并加盖</w:t>
      </w:r>
      <w:r>
        <w:rPr>
          <w:rFonts w:hint="eastAsia" w:ascii="宋体" w:hAnsi="宋体" w:cs="宋体"/>
          <w:sz w:val="24"/>
          <w:szCs w:val="24"/>
          <w:lang w:val="en-US"/>
        </w:rPr>
        <w:t xml:space="preserve">其单位电子</w:t>
      </w:r>
      <w:r>
        <w:rPr>
          <w:rFonts w:hint="eastAsia" w:ascii="宋体" w:hAnsi="宋体" w:cs="宋体"/>
          <w:sz w:val="24"/>
          <w:szCs w:val="24"/>
        </w:rPr>
        <w:t xml:space="preserve">公章。投标单位的澄清、说明或者补正不得超出投标文件的范围或者改变投标文件的实质性内容。</w:t>
      </w:r>
      <w:r>
        <w:rPr>
          <w:rFonts w:ascii="宋体" w:hAnsi="宋体" w:cs="宋体"/>
          <w:sz w:val="24"/>
          <w:szCs w:val="24"/>
        </w:rPr>
      </w:r>
      <w:r/>
    </w:p>
    <w:p>
      <w:pPr>
        <w:pStyle w:val="723"/>
        <w:ind w:firstLine="482"/>
        <w:spacing w:line="360" w:lineRule="auto"/>
        <w:rPr>
          <w:rFonts w:ascii="宋体" w:hAnsi="宋体" w:eastAsia="宋体"/>
          <w:sz w:val="24"/>
          <w:szCs w:val="24"/>
        </w:rPr>
      </w:pPr>
      <w:r>
        <w:rPr>
          <w:rFonts w:hint="eastAsia" w:ascii="宋体" w:hAnsi="宋体" w:eastAsia="宋体" w:cs="宋体"/>
          <w:b/>
          <w:sz w:val="24"/>
          <w:szCs w:val="24"/>
        </w:rPr>
        <w:t xml:space="preserve">本项目投标单位的澄清、说明或者补正采用线上澄清:评标委员会将通过“苏采云”系统向投标单位发布“澄清要求函”，接到“澄清要求函”的投标单位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sz w:val="24"/>
          <w:szCs w:val="24"/>
        </w:rPr>
        <w:t xml:space="preserve">供应商应随时保持系统在线，如因供应商自身原因未在规定时间内提交澄清确认资料的，导致的不利后果由供应商自行承担。</w:t>
      </w:r>
      <w:r>
        <w:rPr>
          <w:rFonts w:ascii="宋体" w:hAnsi="宋体" w:eastAsia="宋体"/>
          <w:sz w:val="24"/>
          <w:szCs w:val="24"/>
        </w:rPr>
      </w:r>
      <w:r/>
    </w:p>
    <w:p>
      <w:pPr>
        <w:pStyle w:val="1061"/>
        <w:ind w:firstLine="0"/>
        <w:spacing w:line="360" w:lineRule="auto"/>
        <w:rPr>
          <w:rFonts w:ascii="宋体" w:hAnsi="宋体" w:cs="宋体"/>
          <w:b/>
          <w:sz w:val="24"/>
          <w:szCs w:val="24"/>
        </w:rPr>
      </w:pPr>
      <w:r>
        <w:rPr>
          <w:rFonts w:hint="eastAsia" w:ascii="宋体" w:hAnsi="宋体" w:cs="宋体"/>
          <w:b/>
          <w:sz w:val="24"/>
          <w:szCs w:val="24"/>
        </w:rPr>
        <w:t xml:space="preserve">27</w:t>
      </w:r>
      <w:r>
        <w:rPr>
          <w:rFonts w:ascii="宋体" w:hAnsi="宋体" w:cs="宋体"/>
          <w:b/>
          <w:sz w:val="24"/>
          <w:szCs w:val="24"/>
        </w:rPr>
        <w:t xml:space="preserve">.</w:t>
      </w:r>
      <w:r>
        <w:rPr>
          <w:rFonts w:hint="eastAsia" w:ascii="宋体" w:hAnsi="宋体" w:cs="宋体"/>
          <w:b/>
          <w:sz w:val="24"/>
          <w:szCs w:val="24"/>
        </w:rPr>
        <w:t xml:space="preserve">投标无效</w:t>
      </w:r>
      <w:r>
        <w:rPr>
          <w:rFonts w:ascii="宋体" w:hAnsi="宋体" w:cs="宋体"/>
          <w:b/>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27.1投标单位存在下列情况之一的，投标无效:</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一</w:t>
      </w:r>
      <w:r>
        <w:rPr>
          <w:rFonts w:hint="eastAsia" w:ascii="宋体" w:hAnsi="宋体" w:cs="宋体"/>
          <w:sz w:val="24"/>
          <w:szCs w:val="24"/>
        </w:rPr>
        <w:t xml:space="preserve">）投标文件未按招标文件要求签署、盖章的；</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二</w:t>
      </w:r>
      <w:r>
        <w:rPr>
          <w:rFonts w:hint="eastAsia" w:ascii="宋体" w:hAnsi="宋体" w:cs="宋体"/>
          <w:sz w:val="24"/>
          <w:szCs w:val="24"/>
        </w:rPr>
        <w:t xml:space="preserve">）不具备招标文件中规定的资格要求的；</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三</w:t>
      </w:r>
      <w:r>
        <w:rPr>
          <w:rFonts w:hint="eastAsia" w:ascii="宋体" w:hAnsi="宋体" w:cs="宋体"/>
          <w:sz w:val="24"/>
          <w:szCs w:val="24"/>
        </w:rPr>
        <w:t xml:space="preserve">）报价超过招标文件中规定的预算金额或者最高限价的；</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四</w:t>
      </w:r>
      <w:r>
        <w:rPr>
          <w:rFonts w:hint="eastAsia" w:ascii="宋体" w:hAnsi="宋体" w:cs="宋体"/>
          <w:sz w:val="24"/>
          <w:szCs w:val="24"/>
        </w:rPr>
        <w:t xml:space="preserve">）投标文件含有采购</w:t>
      </w:r>
      <w:r>
        <w:rPr>
          <w:rFonts w:hint="eastAsia" w:ascii="宋体" w:hAnsi="宋体" w:cs="宋体"/>
          <w:sz w:val="24"/>
          <w:szCs w:val="24"/>
          <w:lang w:val="en-US"/>
        </w:rPr>
        <w:t xml:space="preserve">方</w:t>
      </w:r>
      <w:r>
        <w:rPr>
          <w:rFonts w:hint="eastAsia" w:ascii="宋体" w:hAnsi="宋体" w:cs="宋体"/>
          <w:sz w:val="24"/>
          <w:szCs w:val="24"/>
        </w:rPr>
        <w:t xml:space="preserve">不能接受的附加条件的；</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（五）法律、法规和招标文件规定的其他无效情形。</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27.2投标单位应当遵循公平竞争的原则，不得恶意串通，不得妨碍其他投标单位的竞争行为，不得损害采购</w:t>
      </w:r>
      <w:r>
        <w:rPr>
          <w:rFonts w:hint="eastAsia" w:ascii="宋体" w:hAnsi="宋体" w:cs="宋体"/>
          <w:sz w:val="24"/>
          <w:szCs w:val="24"/>
          <w:lang w:val="en-US"/>
        </w:rPr>
        <w:t xml:space="preserve">方</w:t>
      </w:r>
      <w:r>
        <w:rPr>
          <w:rFonts w:hint="eastAsia" w:ascii="宋体" w:hAnsi="宋体" w:cs="宋体"/>
          <w:sz w:val="24"/>
          <w:szCs w:val="24"/>
        </w:rPr>
        <w:t xml:space="preserve">或者其他投标单位的合法权益。</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在评标过程中发现投标单位有上述情形的，评标委员会应当认定其投标无效，并书面报告本级财政部门。</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27.3有下列情形之一的，视为投标单位串通投标，其投标无效：</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（一）不同投标单位的投标文件由同一单位或者个人编制；</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（二）不同投标单位委托同一单位或者个人办理投标事宜；</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（三）不同投标单位的投标文件载明的项目管理成员或者联系人员为同一人；</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（四）不同投标单位的投标文件异常一致或者投标报价呈规律性差异；</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（五）不同投标单位的投标文件相互混装。</w:t>
      </w:r>
      <w:r>
        <w:rPr>
          <w:rFonts w:ascii="宋体" w:hAnsi="宋体" w:cs="宋体"/>
          <w:sz w:val="24"/>
          <w:szCs w:val="24"/>
        </w:rPr>
      </w:r>
      <w:r/>
    </w:p>
    <w:p>
      <w:pPr>
        <w:pStyle w:val="723"/>
        <w:spacing w:line="360" w:lineRule="auto"/>
        <w:rPr>
          <w:rFonts w:ascii="宋体" w:hAnsi="宋体" w:eastAsia="宋体"/>
          <w:b/>
          <w:sz w:val="24"/>
          <w:szCs w:val="24"/>
        </w:rPr>
      </w:pPr>
      <w:r>
        <w:rPr>
          <w:rFonts w:hint="eastAsia" w:ascii="宋体" w:hAnsi="宋体" w:eastAsia="宋体"/>
          <w:b/>
          <w:sz w:val="24"/>
          <w:szCs w:val="24"/>
        </w:rPr>
        <w:t xml:space="preserve">28</w:t>
      </w:r>
      <w:r>
        <w:rPr>
          <w:rFonts w:ascii="宋体" w:hAnsi="宋体" w:eastAsia="宋体"/>
          <w:b/>
          <w:sz w:val="24"/>
          <w:szCs w:val="24"/>
        </w:rPr>
        <w:t xml:space="preserve">.</w:t>
      </w:r>
      <w:r>
        <w:rPr>
          <w:rFonts w:hint="eastAsia" w:ascii="宋体" w:hAnsi="宋体" w:eastAsia="宋体"/>
          <w:b/>
          <w:sz w:val="24"/>
          <w:szCs w:val="24"/>
        </w:rPr>
        <w:t xml:space="preserve">废标</w:t>
      </w:r>
      <w:r>
        <w:rPr>
          <w:rFonts w:ascii="宋体" w:hAnsi="宋体" w:eastAsia="宋体"/>
          <w:b/>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28.1在招标过程中，出现下列情况之一的，应予废标：</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28.1.1符合专业条件的供应商或者对招标文件作实质响应的供应商不足三家的；</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28.1.2出现影响采购公正的违法、违规行为的；</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28.1.3投标单位的报价均超过了采购预算，采购方不能支付的；</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28.1.4因重大变故，采购任务取消的；</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28.2废标后，采购代理机构将把废标的理由通知所有投标单位。</w:t>
      </w:r>
      <w:r>
        <w:rPr>
          <w:rFonts w:ascii="宋体" w:hAnsi="宋体" w:eastAsia="宋体"/>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9</w:t>
      </w:r>
      <w:r>
        <w:rPr>
          <w:rFonts w:ascii="宋体" w:hAnsi="宋体" w:eastAsia="宋体"/>
          <w:b/>
          <w:sz w:val="24"/>
          <w:szCs w:val="24"/>
        </w:rPr>
        <w:t xml:space="preserve">.</w:t>
      </w:r>
      <w:r>
        <w:rPr>
          <w:rFonts w:hint="eastAsia" w:ascii="宋体" w:hAnsi="宋体" w:eastAsia="宋体"/>
          <w:b/>
          <w:sz w:val="24"/>
          <w:szCs w:val="24"/>
        </w:rPr>
        <w:t xml:space="preserve">投标文件的评价和比较</w:t>
      </w:r>
      <w:r>
        <w:rPr>
          <w:rFonts w:ascii="宋体" w:hAnsi="宋体" w:eastAsia="宋体"/>
          <w:b/>
          <w:sz w:val="24"/>
          <w:szCs w:val="24"/>
        </w:rPr>
      </w:r>
      <w:r/>
    </w:p>
    <w:p>
      <w:pPr>
        <w:pStyle w:val="1061"/>
        <w:spacing w:line="360" w:lineRule="auto"/>
        <w:rPr>
          <w:rFonts w:ascii="宋体" w:hAnsi="宋体" w:cs="宋体"/>
          <w:sz w:val="24"/>
          <w:szCs w:val="24"/>
        </w:rPr>
      </w:pPr>
      <w:r>
        <w:rPr>
          <w:rFonts w:hint="eastAsia" w:ascii="宋体" w:hAnsi="宋体"/>
          <w:sz w:val="24"/>
          <w:szCs w:val="24"/>
        </w:rPr>
        <w:t xml:space="preserve">29</w:t>
      </w:r>
      <w:r>
        <w:rPr>
          <w:rFonts w:ascii="宋体" w:hAnsi="宋体"/>
          <w:sz w:val="24"/>
          <w:szCs w:val="24"/>
        </w:rPr>
        <w:t xml:space="preserve">.1</w:t>
      </w:r>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单位为排名第一的中标候选人。</w:t>
      </w:r>
      <w:r>
        <w:rPr>
          <w:rFonts w:ascii="宋体" w:hAnsi="宋体" w:cs="宋体"/>
          <w:sz w:val="24"/>
          <w:szCs w:val="24"/>
        </w:rPr>
      </w:r>
      <w:r/>
    </w:p>
    <w:p>
      <w:pPr>
        <w:pStyle w:val="748"/>
        <w:ind w:firstLine="482"/>
        <w:jc w:val="both"/>
        <w:spacing w:line="360" w:lineRule="auto"/>
        <w:rPr>
          <w:rFonts w:ascii="宋体" w:hAnsi="宋体" w:eastAsia="宋体"/>
          <w:b/>
          <w:bCs/>
          <w:szCs w:val="24"/>
        </w:rPr>
      </w:pPr>
      <w:r>
        <w:rPr>
          <w:rFonts w:hint="eastAsia" w:ascii="宋体" w:hAnsi="宋体" w:eastAsia="宋体"/>
          <w:b/>
          <w:bCs/>
          <w:szCs w:val="24"/>
        </w:rPr>
        <w:t xml:space="preserve">29.2最低的投标报价或最高的折扣比例是中标的重要条件，但不是唯一条件。</w:t>
      </w:r>
      <w:r>
        <w:rPr>
          <w:rFonts w:ascii="宋体" w:hAnsi="宋体" w:eastAsia="宋体"/>
          <w:b/>
          <w:bCs/>
          <w:szCs w:val="24"/>
        </w:rPr>
      </w:r>
      <w:r/>
    </w:p>
    <w:p>
      <w:pPr>
        <w:pStyle w:val="723"/>
        <w:spacing w:line="360" w:lineRule="auto"/>
        <w:rPr>
          <w:rFonts w:ascii="宋体" w:hAnsi="宋体" w:eastAsia="宋体"/>
          <w:b/>
          <w:sz w:val="24"/>
          <w:szCs w:val="24"/>
        </w:rPr>
      </w:pPr>
      <w:r>
        <w:rPr>
          <w:rFonts w:hint="eastAsia" w:ascii="宋体" w:hAnsi="宋体" w:eastAsia="宋体"/>
          <w:b/>
          <w:sz w:val="24"/>
          <w:szCs w:val="24"/>
        </w:rPr>
        <w:t xml:space="preserve">七、授予合同</w:t>
      </w:r>
      <w:r>
        <w:rPr>
          <w:rFonts w:ascii="宋体" w:hAnsi="宋体" w:eastAsia="宋体"/>
          <w:b/>
          <w:sz w:val="24"/>
          <w:szCs w:val="24"/>
        </w:rPr>
      </w:r>
      <w:r/>
    </w:p>
    <w:p>
      <w:pPr>
        <w:pStyle w:val="723"/>
        <w:spacing w:line="360" w:lineRule="auto"/>
        <w:rPr>
          <w:rFonts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w:t>
      </w:r>
      <w:r>
        <w:rPr>
          <w:rFonts w:hint="eastAsia" w:ascii="宋体" w:hAnsi="宋体" w:eastAsia="宋体"/>
          <w:b/>
          <w:sz w:val="24"/>
          <w:szCs w:val="24"/>
        </w:rPr>
        <w:t xml:space="preserve">中标单位的确认</w:t>
      </w:r>
      <w:r>
        <w:rPr>
          <w:rFonts w:ascii="宋体" w:hAnsi="宋体" w:eastAsia="宋体"/>
          <w:b/>
          <w:sz w:val="24"/>
          <w:szCs w:val="24"/>
        </w:rPr>
      </w:r>
      <w:r/>
    </w:p>
    <w:p>
      <w:pPr>
        <w:pStyle w:val="723"/>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30.1评标委员会根据投标单位资格审查情况，对投标文件进行评价和比较，按照评标办法和标准进行评标，并按招标代理机构的委托向招标代理机构推荐中标候选单位。</w:t>
      </w:r>
      <w:r>
        <w:rPr>
          <w:rFonts w:ascii="宋体" w:hAnsi="宋体" w:eastAsia="宋体" w:cs="宋体"/>
          <w:sz w:val="24"/>
          <w:szCs w:val="24"/>
        </w:rPr>
      </w:r>
      <w:r/>
    </w:p>
    <w:p>
      <w:pPr>
        <w:pStyle w:val="723"/>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30.</w:t>
      </w:r>
      <w:r>
        <w:rPr>
          <w:rFonts w:hint="eastAsia" w:ascii="宋体" w:hAnsi="宋体" w:eastAsia="宋体" w:cs="宋体"/>
          <w:sz w:val="24"/>
          <w:szCs w:val="24"/>
        </w:rPr>
        <w:t xml:space="preserve">2经评标委员会评审并确定中标人后，采购代理机构将在规定的时间内将中标结果在政府采购管理部门指定媒体上予以公告，公告期为一个工作日。各投标单位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单位法定代表人或参加投标的代理人签署和盖公章（原件），采购代理机构有权对该质疑不予答复。</w:t>
      </w:r>
      <w:r>
        <w:rPr>
          <w:rFonts w:ascii="宋体" w:hAnsi="宋体" w:eastAsia="宋体" w:cs="宋体"/>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合同授予标准</w:t>
      </w:r>
      <w:r>
        <w:rPr>
          <w:rFonts w:ascii="宋体" w:hAnsi="宋体" w:eastAsia="宋体"/>
          <w:b/>
          <w:sz w:val="24"/>
          <w:szCs w:val="24"/>
        </w:rPr>
      </w:r>
      <w:r/>
    </w:p>
    <w:p>
      <w:pPr>
        <w:pStyle w:val="723"/>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1.1</w:t>
      </w:r>
      <w:r>
        <w:rPr>
          <w:rFonts w:hint="eastAsia" w:ascii="宋体" w:hAnsi="宋体" w:eastAsia="宋体" w:cs="宋体"/>
          <w:sz w:val="24"/>
          <w:szCs w:val="24"/>
        </w:rPr>
        <w:t xml:space="preserve">采购方、采购代理机构将把合同授予其投标文件在实质性响应招标文件要求和按本须知规定评选出的投标单位。确定为中标的投标单位必须具有实施本合同的能力和资源。</w:t>
      </w:r>
      <w:r>
        <w:rPr>
          <w:rFonts w:ascii="宋体" w:hAnsi="宋体" w:eastAsia="宋体" w:cs="宋体"/>
          <w:sz w:val="24"/>
          <w:szCs w:val="24"/>
        </w:rPr>
      </w:r>
      <w:r/>
    </w:p>
    <w:p>
      <w:pPr>
        <w:pStyle w:val="723"/>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.2采购方在授标时可以增加（或减少）中标货物和服务的数量，但增加的数量的金额不得超过中标货物和服务金额的10%。</w:t>
      </w:r>
      <w:r>
        <w:rPr>
          <w:rFonts w:ascii="宋体" w:hAnsi="宋体" w:eastAsia="宋体" w:cs="宋体"/>
          <w:sz w:val="24"/>
          <w:szCs w:val="24"/>
        </w:rPr>
      </w:r>
      <w:r/>
    </w:p>
    <w:p>
      <w:pPr>
        <w:pStyle w:val="723"/>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.3采购方和中标单位所签订的合同不得对招标文件确定的事项和中标单位投标文件作实质性修改；招标文件、中标供应商的投标文件及其澄清文件等，均为签订合同的依据。</w:t>
      </w:r>
      <w:r>
        <w:rPr>
          <w:rFonts w:ascii="宋体" w:hAnsi="宋体" w:eastAsia="宋体" w:cs="宋体"/>
          <w:sz w:val="24"/>
          <w:szCs w:val="24"/>
        </w:rPr>
      </w:r>
      <w:r/>
    </w:p>
    <w:p>
      <w:pPr>
        <w:pStyle w:val="723"/>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4按照《关于印发〈苏州市政府采购促进中小企业发展实施意见〉的通知》（苏财购〔2022〕16号）文件精神，采购人与中标人原则上应当在中标通知书发出之日起十五日内，按照招标文件及投标文件确定的事项签订政府采购合同，最长不得超过三十日。</w:t>
      </w:r>
      <w:r>
        <w:rPr>
          <w:rFonts w:ascii="宋体" w:hAnsi="宋体" w:eastAsia="宋体" w:cs="宋体"/>
          <w:sz w:val="24"/>
          <w:szCs w:val="24"/>
        </w:rPr>
      </w:r>
      <w:r/>
    </w:p>
    <w:p>
      <w:pPr>
        <w:pStyle w:val="723"/>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.5中标单位无正当理由不得拒绝签订政府采购合同；采购方和中标单位应当根据合同的约定依法履行合同义务。</w:t>
      </w:r>
      <w:r>
        <w:rPr>
          <w:rFonts w:ascii="宋体" w:hAnsi="宋体" w:eastAsia="宋体" w:cs="宋体"/>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中标通知书</w:t>
      </w:r>
      <w:r>
        <w:rPr>
          <w:rFonts w:ascii="宋体" w:hAnsi="宋体" w:eastAsia="宋体"/>
          <w:b/>
          <w:sz w:val="24"/>
          <w:szCs w:val="24"/>
        </w:rPr>
      </w:r>
      <w:r/>
    </w:p>
    <w:p>
      <w:pPr>
        <w:pStyle w:val="1061"/>
        <w:spacing w:line="360" w:lineRule="auto"/>
        <w:rPr>
          <w:rFonts w:ascii="宋体" w:hAnsi="宋体" w:cs="宋体"/>
          <w:b/>
          <w:sz w:val="24"/>
          <w:szCs w:val="24"/>
        </w:rPr>
      </w:pPr>
      <w:r>
        <w:rPr>
          <w:rFonts w:hint="eastAsia" w:ascii="宋体" w:hAnsi="宋体" w:cs="宋体"/>
          <w:sz w:val="24"/>
          <w:szCs w:val="24"/>
        </w:rPr>
        <w:t xml:space="preserve">3</w:t>
      </w:r>
      <w:r>
        <w:rPr>
          <w:rFonts w:ascii="宋体" w:hAnsi="宋体" w:cs="宋体"/>
          <w:sz w:val="24"/>
          <w:szCs w:val="24"/>
        </w:rPr>
        <w:t xml:space="preserve">2</w:t>
      </w:r>
      <w:r>
        <w:rPr>
          <w:rFonts w:hint="eastAsia" w:ascii="宋体" w:hAnsi="宋体" w:cs="宋体"/>
          <w:sz w:val="24"/>
          <w:szCs w:val="24"/>
        </w:rPr>
        <w:t xml:space="preserve">.1确定出中标</w:t>
      </w:r>
      <w:r>
        <w:rPr>
          <w:rFonts w:hint="eastAsia" w:ascii="宋体" w:hAnsi="宋体" w:cs="宋体"/>
          <w:sz w:val="24"/>
          <w:szCs w:val="24"/>
          <w:lang w:val="en-US"/>
        </w:rPr>
        <w:t xml:space="preserve">单位</w:t>
      </w:r>
      <w:r>
        <w:rPr>
          <w:rFonts w:hint="eastAsia" w:ascii="宋体" w:hAnsi="宋体" w:cs="宋体"/>
          <w:sz w:val="24"/>
          <w:szCs w:val="24"/>
        </w:rPr>
        <w:t xml:space="preserve">后，采购代理机构在法定时间内向中标</w:t>
      </w:r>
      <w:r>
        <w:rPr>
          <w:rFonts w:hint="eastAsia" w:ascii="宋体" w:hAnsi="宋体" w:cs="宋体"/>
          <w:sz w:val="24"/>
          <w:szCs w:val="24"/>
          <w:lang w:val="en-US"/>
        </w:rPr>
        <w:t xml:space="preserve">单位</w:t>
      </w:r>
      <w:r>
        <w:rPr>
          <w:rFonts w:hint="eastAsia" w:ascii="宋体" w:hAnsi="宋体" w:cs="宋体"/>
          <w:sz w:val="24"/>
          <w:szCs w:val="24"/>
        </w:rPr>
        <w:t xml:space="preserve">发出中标通知书。</w:t>
      </w:r>
      <w:r>
        <w:rPr>
          <w:rFonts w:hint="eastAsia" w:ascii="宋体" w:hAnsi="宋体" w:cs="宋体"/>
          <w:b/>
          <w:sz w:val="24"/>
          <w:szCs w:val="24"/>
        </w:rPr>
        <w:t xml:space="preserve">请中标</w:t>
      </w:r>
      <w:r>
        <w:rPr>
          <w:rFonts w:hint="eastAsia" w:ascii="宋体" w:hAnsi="宋体" w:cs="宋体"/>
          <w:b/>
          <w:sz w:val="24"/>
          <w:szCs w:val="24"/>
          <w:lang w:val="en-US"/>
        </w:rPr>
        <w:t xml:space="preserve">单位</w:t>
      </w:r>
      <w:r>
        <w:rPr>
          <w:rFonts w:hint="eastAsia" w:ascii="宋体" w:hAnsi="宋体" w:cs="宋体"/>
          <w:b/>
          <w:sz w:val="24"/>
          <w:szCs w:val="24"/>
        </w:rPr>
        <w:t xml:space="preserve">在中标结果公告届满之日起30日内,使用CA证书登录“苏采云”系统及时下载中标通知书。</w:t>
      </w:r>
      <w:r>
        <w:rPr>
          <w:rFonts w:hint="eastAsia" w:ascii="宋体" w:hAnsi="宋体" w:cs="宋体"/>
          <w:sz w:val="24"/>
          <w:szCs w:val="24"/>
        </w:rPr>
        <w:t xml:space="preserve">因系统存储空间有限，自中标结果公告届满之日起30日后，“苏采云”系统不再保证提供下载中标通知书服务,因未及时下载而造成的不利后果由中标</w:t>
      </w:r>
      <w:r>
        <w:rPr>
          <w:rFonts w:hint="eastAsia" w:ascii="宋体" w:hAnsi="宋体" w:cs="宋体"/>
          <w:sz w:val="24"/>
          <w:szCs w:val="24"/>
          <w:lang w:val="en-US"/>
        </w:rPr>
        <w:t xml:space="preserve">单位</w:t>
      </w:r>
      <w:r>
        <w:rPr>
          <w:rFonts w:hint="eastAsia" w:ascii="宋体" w:hAnsi="宋体" w:cs="宋体"/>
          <w:sz w:val="24"/>
          <w:szCs w:val="24"/>
        </w:rPr>
        <w:t xml:space="preserve">自行承担。</w:t>
      </w:r>
      <w:r>
        <w:rPr>
          <w:rFonts w:ascii="宋体" w:hAnsi="宋体" w:cs="宋体"/>
          <w:b/>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32.2中标通知书将成为合同的组成部分，对采购</w:t>
      </w:r>
      <w:r>
        <w:rPr>
          <w:rFonts w:hint="eastAsia" w:ascii="宋体" w:hAnsi="宋体" w:cs="宋体"/>
          <w:sz w:val="24"/>
          <w:szCs w:val="24"/>
          <w:lang w:val="en-US"/>
        </w:rPr>
        <w:t xml:space="preserve">方</w:t>
      </w:r>
      <w:r>
        <w:rPr>
          <w:rFonts w:hint="eastAsia" w:ascii="宋体" w:hAnsi="宋体" w:cs="宋体"/>
          <w:sz w:val="24"/>
          <w:szCs w:val="24"/>
        </w:rPr>
        <w:t xml:space="preserve">和中标</w:t>
      </w:r>
      <w:r>
        <w:rPr>
          <w:rFonts w:hint="eastAsia" w:ascii="宋体" w:hAnsi="宋体" w:cs="宋体"/>
          <w:sz w:val="24"/>
          <w:szCs w:val="24"/>
          <w:lang w:val="en-US"/>
        </w:rPr>
        <w:t xml:space="preserve">单位</w:t>
      </w:r>
      <w:r>
        <w:rPr>
          <w:rFonts w:hint="eastAsia" w:ascii="宋体" w:hAnsi="宋体" w:cs="宋体"/>
          <w:sz w:val="24"/>
          <w:szCs w:val="24"/>
        </w:rPr>
        <w:t xml:space="preserve">具有同等法律效力。</w:t>
      </w:r>
      <w:r>
        <w:rPr>
          <w:rFonts w:ascii="宋体" w:hAnsi="宋体" w:cs="宋体"/>
          <w:sz w:val="24"/>
          <w:szCs w:val="24"/>
        </w:rPr>
      </w:r>
      <w:r/>
    </w:p>
    <w:p>
      <w:pPr>
        <w:pStyle w:val="1061"/>
        <w:spacing w:line="360" w:lineRule="auto"/>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t xml:space="preserve">3</w:t>
      </w:r>
      <w:r>
        <w:rPr>
          <w:rFonts w:hint="eastAsia" w:ascii="宋体" w:hAnsi="宋体" w:cs="宋体"/>
          <w:sz w:val="24"/>
          <w:szCs w:val="24"/>
        </w:rPr>
        <w:t xml:space="preserve">中标通知书发出后，采购</w:t>
      </w:r>
      <w:r>
        <w:rPr>
          <w:rFonts w:hint="eastAsia" w:ascii="宋体" w:hAnsi="宋体" w:cs="宋体"/>
          <w:sz w:val="24"/>
          <w:szCs w:val="24"/>
          <w:lang w:val="en-US"/>
        </w:rPr>
        <w:t xml:space="preserve">方</w:t>
      </w:r>
      <w:r>
        <w:rPr>
          <w:rFonts w:hint="eastAsia" w:ascii="宋体" w:hAnsi="宋体" w:cs="宋体"/>
          <w:sz w:val="24"/>
          <w:szCs w:val="24"/>
        </w:rPr>
        <w:t xml:space="preserve">不得违法改变中标结果，中标</w:t>
      </w:r>
      <w:r>
        <w:rPr>
          <w:rFonts w:hint="eastAsia" w:ascii="宋体" w:hAnsi="宋体" w:cs="宋体"/>
          <w:sz w:val="24"/>
          <w:szCs w:val="24"/>
          <w:lang w:val="en-US"/>
        </w:rPr>
        <w:t xml:space="preserve">单位</w:t>
      </w:r>
      <w:r>
        <w:rPr>
          <w:rFonts w:hint="eastAsia" w:ascii="宋体" w:hAnsi="宋体" w:cs="宋体"/>
          <w:sz w:val="24"/>
          <w:szCs w:val="24"/>
        </w:rPr>
        <w:t xml:space="preserve">无正当理由不得放弃中标。</w:t>
      </w:r>
      <w:r>
        <w:rPr>
          <w:rFonts w:ascii="宋体" w:hAnsi="宋体" w:cs="宋体"/>
          <w:sz w:val="24"/>
          <w:szCs w:val="24"/>
        </w:rPr>
      </w:r>
      <w:r/>
    </w:p>
    <w:p>
      <w:pPr>
        <w:pStyle w:val="1061"/>
        <w:spacing w:line="360" w:lineRule="auto"/>
        <w:rPr>
          <w:rFonts w:ascii="宋体" w:hAnsi="宋体" w:cs="宋体"/>
          <w:sz w:val="24"/>
          <w:szCs w:val="24"/>
        </w:rPr>
      </w:pPr>
      <w:r>
        <w:rPr>
          <w:rFonts w:ascii="宋体" w:hAnsi="宋体" w:cs="宋体"/>
          <w:sz w:val="24"/>
          <w:szCs w:val="24"/>
        </w:rPr>
        <w:t xml:space="preserve">32.4</w:t>
      </w:r>
      <w:r>
        <w:rPr>
          <w:rFonts w:hint="eastAsia" w:ascii="宋体" w:hAnsi="宋体" w:cs="宋体"/>
          <w:sz w:val="24"/>
          <w:szCs w:val="24"/>
        </w:rPr>
        <w:t xml:space="preserve">采购代理机构对未中标</w:t>
      </w:r>
      <w:r>
        <w:rPr>
          <w:rFonts w:hint="eastAsia" w:ascii="宋体" w:hAnsi="宋体" w:cs="宋体"/>
          <w:sz w:val="24"/>
          <w:szCs w:val="24"/>
          <w:lang w:val="en-US"/>
        </w:rPr>
        <w:t xml:space="preserve">单位</w:t>
      </w:r>
      <w:r>
        <w:rPr>
          <w:rFonts w:hint="eastAsia" w:ascii="宋体" w:hAnsi="宋体" w:cs="宋体"/>
          <w:sz w:val="24"/>
          <w:szCs w:val="24"/>
        </w:rPr>
        <w:t xml:space="preserve">不承担解释未中标原因的义务。</w:t>
      </w:r>
      <w:r>
        <w:rPr>
          <w:rFonts w:ascii="宋体" w:hAnsi="宋体" w:cs="宋体"/>
          <w:sz w:val="24"/>
          <w:szCs w:val="24"/>
        </w:rPr>
      </w:r>
      <w:r/>
    </w:p>
    <w:p>
      <w:pPr>
        <w:pStyle w:val="1061"/>
        <w:spacing w:line="360" w:lineRule="auto"/>
        <w:rPr>
          <w:rFonts w:ascii="宋体" w:hAnsi="宋体" w:cs="宋体"/>
          <w:sz w:val="24"/>
          <w:szCs w:val="24"/>
          <w:lang w:val="en-US"/>
        </w:rPr>
      </w:pPr>
      <w:r>
        <w:rPr>
          <w:rFonts w:ascii="宋体" w:hAnsi="宋体" w:cs="宋体"/>
          <w:sz w:val="24"/>
          <w:szCs w:val="24"/>
        </w:rPr>
        <w:t xml:space="preserve">32.5</w:t>
      </w:r>
      <w:r>
        <w:rPr>
          <w:rFonts w:hint="eastAsia" w:ascii="宋体" w:hAnsi="宋体" w:cs="宋体"/>
          <w:sz w:val="24"/>
          <w:szCs w:val="24"/>
        </w:rPr>
        <w:t xml:space="preserve">未中标供应商须在中标公告发出之日起</w:t>
      </w:r>
      <w:r>
        <w:rPr>
          <w:rFonts w:ascii="宋体" w:hAnsi="宋体" w:cs="宋体"/>
          <w:sz w:val="24"/>
          <w:szCs w:val="24"/>
        </w:rPr>
        <w:t xml:space="preserve">2</w:t>
      </w:r>
      <w:r>
        <w:rPr>
          <w:rFonts w:hint="eastAsia" w:ascii="宋体" w:hAnsi="宋体" w:cs="宋体"/>
          <w:sz w:val="24"/>
          <w:szCs w:val="24"/>
        </w:rPr>
        <w:t xml:space="preserve">个工作日内向采购代理机构另行提供用以接收《未中标通知书》的电子邮件地址，未按时提供电子邮件地址或提供信息有误的，视为自动放弃并自行承担相应后果。</w:t>
      </w:r>
      <w:r>
        <w:rPr>
          <w:rFonts w:ascii="宋体" w:hAnsi="宋体" w:cs="宋体"/>
          <w:sz w:val="24"/>
          <w:szCs w:val="24"/>
          <w:lang w:val="en-US"/>
        </w:rPr>
      </w:r>
      <w:r/>
    </w:p>
    <w:p>
      <w:pPr>
        <w:pStyle w:val="723"/>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合同的签订</w:t>
      </w:r>
      <w:r>
        <w:rPr>
          <w:rFonts w:ascii="宋体" w:hAnsi="宋体" w:eastAsia="宋体"/>
          <w:b/>
          <w:sz w:val="24"/>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3.1中标单位应按中标通知书中规定的时间和地点，由法定代表人或授权代理人与甲方代表签订合同。</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3.2签订合同及合同条款应以招标文件和中标单位的投标文件及其澄清文件为依据。</w:t>
      </w:r>
      <w:r>
        <w:rPr>
          <w:rFonts w:ascii="宋体" w:hAnsi="宋体" w:eastAsia="宋体"/>
          <w:szCs w:val="24"/>
        </w:rPr>
      </w:r>
      <w:r/>
    </w:p>
    <w:p>
      <w:pPr>
        <w:pStyle w:val="723"/>
        <w:spacing w:line="360" w:lineRule="auto"/>
        <w:rPr>
          <w:rFonts w:ascii="宋体" w:hAnsi="宋体" w:eastAsia="宋体"/>
          <w:b/>
          <w:sz w:val="24"/>
          <w:szCs w:val="24"/>
        </w:rPr>
      </w:pPr>
      <w:r>
        <w:rPr>
          <w:rFonts w:hint="eastAsia" w:ascii="宋体" w:hAnsi="宋体" w:eastAsia="宋体"/>
          <w:b/>
          <w:sz w:val="24"/>
          <w:szCs w:val="24"/>
        </w:rPr>
        <w:t xml:space="preserve">八、其他事项</w:t>
      </w:r>
      <w:r>
        <w:rPr>
          <w:rFonts w:ascii="宋体" w:hAnsi="宋体" w:eastAsia="宋体"/>
          <w:b/>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代理服务费</w:t>
      </w:r>
      <w:r>
        <w:rPr>
          <w:rFonts w:ascii="宋体" w:hAnsi="宋体" w:eastAsia="宋体"/>
          <w:b/>
          <w:sz w:val="24"/>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34</w:t>
      </w:r>
      <w:r>
        <w:rPr>
          <w:rFonts w:hint="eastAsia" w:ascii="宋体" w:hAnsi="宋体" w:eastAsia="宋体"/>
          <w:szCs w:val="24"/>
        </w:rPr>
        <w:t xml:space="preserve">.1中标单位须按前附表的规定计算并支付代理服务费，该费用应在领取中标通知书时付清。</w:t>
      </w:r>
      <w:r>
        <w:rPr>
          <w:rFonts w:ascii="宋体" w:hAnsi="宋体" w:eastAsia="宋体"/>
          <w:szCs w:val="24"/>
        </w:rPr>
      </w:r>
      <w:r/>
    </w:p>
    <w:p>
      <w:pPr>
        <w:pStyle w:val="748"/>
        <w:ind w:firstLine="480"/>
        <w:jc w:val="both"/>
        <w:spacing w:line="360" w:lineRule="auto"/>
        <w:rPr>
          <w:rFonts w:ascii="宋体" w:hAnsi="宋体" w:eastAsia="宋体"/>
          <w:szCs w:val="24"/>
        </w:rPr>
      </w:pPr>
      <w:r>
        <w:rPr>
          <w:rFonts w:ascii="宋体" w:hAnsi="宋体" w:eastAsia="宋体"/>
          <w:szCs w:val="24"/>
        </w:rPr>
        <w:t xml:space="preserve">34</w:t>
      </w:r>
      <w:r>
        <w:rPr>
          <w:rFonts w:hint="eastAsia" w:ascii="宋体" w:hAnsi="宋体" w:eastAsia="宋体"/>
          <w:szCs w:val="24"/>
        </w:rPr>
        <w:t xml:space="preserve">.2中标单位如果未按规定缴纳代理服务费，采购代理机构将保留诉讼的权利。</w:t>
      </w:r>
      <w:r>
        <w:rPr>
          <w:rFonts w:ascii="宋体" w:hAnsi="宋体" w:eastAsia="宋体"/>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4</w:t>
      </w:r>
      <w:r>
        <w:rPr>
          <w:rFonts w:hint="eastAsia" w:ascii="宋体" w:hAnsi="宋体" w:eastAsia="宋体"/>
          <w:sz w:val="24"/>
          <w:szCs w:val="24"/>
        </w:rPr>
        <w:t xml:space="preserve">.3缴纳代理服务费时，如供应商为增值税一般纳税人且需增值税专用发票的，则须提供开票信息。</w:t>
      </w:r>
      <w:r>
        <w:rPr>
          <w:rFonts w:ascii="宋体" w:hAnsi="宋体" w:eastAsia="宋体"/>
          <w:sz w:val="24"/>
          <w:szCs w:val="24"/>
        </w:rPr>
      </w:r>
      <w:r/>
    </w:p>
    <w:p>
      <w:pPr>
        <w:pStyle w:val="723"/>
        <w:spacing w:line="360" w:lineRule="auto"/>
        <w:rPr>
          <w:rFonts w:ascii="宋体" w:hAnsi="宋体" w:eastAsia="宋体"/>
          <w:sz w:val="24"/>
          <w:szCs w:val="24"/>
        </w:rPr>
      </w:pPr>
      <w:r>
        <w:rPr>
          <w:rFonts w:ascii="宋体" w:hAnsi="宋体" w:eastAsia="宋体"/>
          <w:b/>
          <w:sz w:val="24"/>
          <w:szCs w:val="24"/>
        </w:rPr>
        <w:t xml:space="preserve">3</w:t>
      </w: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监督</w:t>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有关监督部门将对招投标全过程进行监督。</w:t>
      </w:r>
      <w:r>
        <w:rPr>
          <w:rFonts w:ascii="宋体" w:hAnsi="宋体" w:eastAsia="宋体"/>
          <w:sz w:val="24"/>
          <w:szCs w:val="24"/>
        </w:rPr>
      </w:r>
      <w:r/>
    </w:p>
    <w:p>
      <w:pPr>
        <w:pStyle w:val="723"/>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6.未尽事宜</w:t>
      </w:r>
      <w:r>
        <w:rPr>
          <w:rFonts w:ascii="宋体" w:hAnsi="宋体" w:eastAsia="宋体"/>
          <w:b/>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按</w:t>
      </w:r>
      <w:r>
        <w:rPr>
          <w:rFonts w:ascii="宋体" w:hAnsi="宋体" w:eastAsia="宋体"/>
          <w:sz w:val="24"/>
          <w:szCs w:val="24"/>
        </w:rPr>
        <w:t xml:space="preserve">《中华人民共和国政府采购法》</w:t>
      </w:r>
      <w:r>
        <w:rPr>
          <w:rFonts w:hint="eastAsia" w:ascii="宋体" w:hAnsi="宋体" w:eastAsia="宋体"/>
          <w:sz w:val="24"/>
          <w:szCs w:val="24"/>
        </w:rPr>
        <w:t xml:space="preserve">及其他有关的法律法规的规定执行。</w:t>
      </w:r>
      <w:r>
        <w:rPr>
          <w:rFonts w:ascii="宋体" w:hAnsi="宋体" w:eastAsia="宋体"/>
          <w:sz w:val="24"/>
          <w:szCs w:val="24"/>
        </w:rPr>
      </w:r>
      <w:r/>
    </w:p>
    <w:p>
      <w:pPr>
        <w:pStyle w:val="723"/>
        <w:jc w:val="left"/>
        <w:widowControl/>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r>
      <w:r/>
    </w:p>
    <w:p>
      <w:pPr>
        <w:pStyle w:val="723"/>
        <w:rPr>
          <w:rFonts w:ascii="宋体" w:hAnsi="宋体" w:eastAsia="宋体"/>
          <w:color w:val="000000"/>
          <w:sz w:val="32"/>
          <w:szCs w:val="32"/>
        </w:rPr>
      </w:pPr>
      <w:r>
        <w:rPr>
          <w:rFonts w:ascii="宋体" w:hAnsi="宋体" w:eastAsia="宋体"/>
          <w:color w:val="000000"/>
          <w:sz w:val="32"/>
          <w:szCs w:val="32"/>
        </w:rPr>
      </w:r>
      <w:r/>
    </w:p>
    <w:p>
      <w:pPr>
        <w:pStyle w:val="723"/>
        <w:rPr>
          <w:rFonts w:ascii="宋体" w:hAnsi="宋体" w:eastAsia="宋体"/>
          <w:color w:val="000000"/>
          <w:sz w:val="32"/>
          <w:szCs w:val="32"/>
        </w:rPr>
      </w:pPr>
      <w:r>
        <w:rPr>
          <w:rFonts w:ascii="宋体" w:hAnsi="宋体" w:eastAsia="宋体"/>
          <w:color w:val="000000"/>
          <w:sz w:val="32"/>
          <w:szCs w:val="32"/>
        </w:rPr>
      </w:r>
      <w:r/>
    </w:p>
    <w:p>
      <w:pPr>
        <w:pStyle w:val="723"/>
        <w:rPr>
          <w:rFonts w:ascii="宋体" w:hAnsi="宋体" w:eastAsia="宋体"/>
          <w:color w:val="000000"/>
          <w:sz w:val="32"/>
          <w:szCs w:val="32"/>
        </w:rPr>
      </w:pPr>
      <w:r>
        <w:rPr>
          <w:rFonts w:ascii="宋体" w:hAnsi="宋体" w:eastAsia="宋体"/>
          <w:color w:val="000000"/>
          <w:sz w:val="32"/>
          <w:szCs w:val="32"/>
        </w:rPr>
      </w:r>
      <w:r/>
    </w:p>
    <w:p>
      <w:pPr>
        <w:pStyle w:val="723"/>
        <w:rPr>
          <w:rFonts w:ascii="宋体" w:hAnsi="宋体" w:eastAsia="宋体"/>
          <w:color w:val="000000"/>
          <w:sz w:val="32"/>
          <w:szCs w:val="32"/>
        </w:rPr>
      </w:pPr>
      <w:r>
        <w:rPr>
          <w:rFonts w:ascii="宋体" w:hAnsi="宋体" w:eastAsia="宋体"/>
          <w:color w:val="000000"/>
          <w:sz w:val="32"/>
          <w:szCs w:val="32"/>
        </w:rPr>
      </w:r>
      <w:r/>
    </w:p>
    <w:p>
      <w:pPr>
        <w:pStyle w:val="723"/>
        <w:rPr>
          <w:rFonts w:ascii="宋体" w:hAnsi="宋体" w:eastAsia="宋体"/>
          <w:color w:val="000000"/>
          <w:sz w:val="32"/>
          <w:szCs w:val="32"/>
        </w:rPr>
      </w:pPr>
      <w:r>
        <w:rPr>
          <w:rFonts w:ascii="宋体" w:hAnsi="宋体" w:eastAsia="宋体"/>
          <w:color w:val="000000"/>
          <w:sz w:val="32"/>
          <w:szCs w:val="32"/>
        </w:rPr>
      </w:r>
      <w:r/>
    </w:p>
    <w:p>
      <w:pPr>
        <w:pStyle w:val="724"/>
        <w:jc w:val="center"/>
        <w:rPr>
          <w:rFonts w:ascii="宋体" w:hAnsi="宋体" w:eastAsia="宋体"/>
          <w:b w:val="0"/>
          <w:color w:val="000000"/>
          <w:sz w:val="52"/>
        </w:rPr>
      </w:pPr>
      <w:r/>
      <w:bookmarkStart w:id="6" w:name="_Toc50373297"/>
      <w:r>
        <w:rPr>
          <w:rFonts w:hint="eastAsia" w:ascii="宋体" w:hAnsi="宋体" w:eastAsia="宋体"/>
          <w:color w:val="000000"/>
          <w:sz w:val="52"/>
        </w:rPr>
        <w:t xml:space="preserve">第三章投标文件格式</w:t>
      </w:r>
      <w:bookmarkEnd w:id="6"/>
      <w:r>
        <w:rPr>
          <w:rFonts w:ascii="宋体" w:hAnsi="宋体" w:eastAsia="宋体"/>
          <w:b w:val="0"/>
          <w:color w:val="000000"/>
          <w:sz w:val="52"/>
        </w:rPr>
      </w:r>
      <w:r/>
    </w:p>
    <w:p>
      <w:pPr>
        <w:pStyle w:val="748"/>
        <w:ind w:firstLine="0"/>
        <w:spacing w:line="360" w:lineRule="auto"/>
        <w:rPr>
          <w:rFonts w:ascii="宋体" w:hAnsi="宋体" w:eastAsia="宋体"/>
          <w:b/>
          <w:color w:val="000000"/>
        </w:rPr>
      </w:pPr>
      <w:r>
        <w:rPr>
          <w:rFonts w:hint="eastAsia" w:ascii="宋体" w:hAnsi="宋体" w:eastAsia="宋体"/>
          <w:b/>
          <w:color w:val="000000"/>
        </w:rPr>
        <w:t xml:space="preserve">说明：</w:t>
      </w:r>
      <w:r>
        <w:rPr>
          <w:rFonts w:ascii="宋体" w:hAnsi="宋体" w:eastAsia="宋体"/>
          <w:b/>
          <w:color w:val="000000"/>
        </w:rPr>
      </w:r>
      <w:r/>
    </w:p>
    <w:p>
      <w:pPr>
        <w:pStyle w:val="748"/>
        <w:ind w:firstLine="482"/>
        <w:spacing w:line="360" w:lineRule="auto"/>
        <w:rPr>
          <w:rFonts w:ascii="宋体" w:hAnsi="宋体" w:eastAsia="宋体"/>
          <w:b/>
          <w:color w:val="000000"/>
        </w:rPr>
      </w:pPr>
      <w:r>
        <w:rPr>
          <w:rFonts w:hint="eastAsia" w:ascii="宋体" w:hAnsi="宋体" w:eastAsia="宋体"/>
          <w:b/>
          <w:color w:val="000000"/>
        </w:rPr>
        <w:t xml:space="preserve">对本章所有的投标书格式 ，投标单位的补充不得造成与本格式内容有实质性的违背。</w:t>
      </w:r>
      <w:r>
        <w:rPr>
          <w:rFonts w:ascii="宋体" w:hAnsi="宋体" w:eastAsia="宋体"/>
          <w:b/>
          <w:color w:val="000000"/>
        </w:rPr>
      </w:r>
      <w:r/>
    </w:p>
    <w:p>
      <w:pPr>
        <w:pStyle w:val="748"/>
        <w:ind w:firstLine="0"/>
        <w:rPr>
          <w:rFonts w:ascii="宋体" w:hAnsi="宋体" w:eastAsia="宋体"/>
          <w:b/>
          <w:color w:val="000000"/>
        </w:rPr>
        <w:outlineLvl w:val="1"/>
      </w:pPr>
      <w:r>
        <w:rPr>
          <w:rFonts w:ascii="宋体" w:hAnsi="宋体" w:eastAsia="宋体"/>
          <w:b/>
          <w:color w:val="000000"/>
          <w:sz w:val="28"/>
        </w:rPr>
        <w:br w:type="page" w:clear="all"/>
      </w:r>
      <w:r>
        <w:rPr>
          <w:rFonts w:hint="eastAsia" w:ascii="宋体" w:hAnsi="宋体" w:eastAsia="宋体"/>
          <w:b/>
          <w:color w:val="000000"/>
        </w:rPr>
        <w:t xml:space="preserve">1、授权委托书</w:t>
      </w:r>
      <w:r>
        <w:rPr>
          <w:rFonts w:ascii="宋体" w:hAnsi="宋体" w:eastAsia="宋体"/>
          <w:b/>
          <w:color w:val="000000"/>
        </w:rPr>
      </w:r>
      <w:r/>
    </w:p>
    <w:p>
      <w:pPr>
        <w:pStyle w:val="748"/>
        <w:ind w:firstLine="0"/>
        <w:rPr>
          <w:rFonts w:ascii="宋体" w:hAnsi="宋体" w:eastAsia="宋体"/>
          <w:color w:val="000000"/>
        </w:rPr>
      </w:pPr>
      <w:r>
        <w:rPr>
          <w:rFonts w:ascii="宋体" w:hAnsi="宋体" w:eastAsia="宋体"/>
          <w:color w:val="000000"/>
        </w:rPr>
      </w:r>
      <w:r/>
    </w:p>
    <w:p>
      <w:pPr>
        <w:pStyle w:val="748"/>
        <w:ind w:firstLine="0"/>
        <w:jc w:val="center"/>
        <w:spacing w:line="360" w:lineRule="auto"/>
        <w:rPr>
          <w:rFonts w:ascii="宋体" w:hAnsi="宋体" w:eastAsia="宋体"/>
          <w:color w:val="000000"/>
        </w:rPr>
      </w:pPr>
      <w:r>
        <w:rPr>
          <w:rFonts w:ascii="宋体" w:hAnsi="宋体" w:eastAsia="宋体"/>
          <w:color w:val="000000"/>
        </w:rPr>
      </w:r>
      <w:r/>
    </w:p>
    <w:p>
      <w:pPr>
        <w:pStyle w:val="1111"/>
        <w:jc w:val="center"/>
        <w:rPr>
          <w:rFonts w:ascii="宋体" w:hAnsi="宋体"/>
          <w:b/>
          <w:color w:val="000000"/>
        </w:rPr>
      </w:pPr>
      <w:r>
        <w:rPr>
          <w:rFonts w:hint="eastAsia" w:ascii="宋体" w:hAnsi="宋体"/>
          <w:color w:val="000000"/>
        </w:rPr>
        <w:t xml:space="preserve">授权委托书</w:t>
      </w:r>
      <w:r>
        <w:rPr>
          <w:rFonts w:ascii="宋体" w:hAnsi="宋体"/>
          <w:b/>
          <w:color w:val="000000"/>
        </w:rPr>
      </w:r>
      <w:r/>
    </w:p>
    <w:p>
      <w:pPr>
        <w:pStyle w:val="748"/>
        <w:ind w:firstLine="0"/>
        <w:jc w:val="center"/>
        <w:spacing w:line="360" w:lineRule="auto"/>
        <w:rPr>
          <w:rFonts w:ascii="宋体" w:hAnsi="宋体" w:eastAsia="宋体"/>
          <w:color w:val="000000"/>
        </w:rPr>
      </w:pPr>
      <w:r>
        <w:rPr>
          <w:rFonts w:ascii="宋体" w:hAnsi="宋体" w:eastAsia="宋体"/>
          <w:color w:val="000000"/>
        </w:rPr>
      </w:r>
      <w:r/>
    </w:p>
    <w:p>
      <w:pPr>
        <w:pStyle w:val="748"/>
        <w:ind w:firstLine="0"/>
        <w:jc w:val="center"/>
        <w:spacing w:line="360" w:lineRule="auto"/>
        <w:rPr>
          <w:rFonts w:ascii="宋体" w:hAnsi="宋体" w:eastAsia="宋体"/>
          <w:color w:val="000000"/>
        </w:rPr>
      </w:pPr>
      <w:r>
        <w:rPr>
          <w:rFonts w:ascii="宋体" w:hAnsi="宋体" w:eastAsia="宋体"/>
          <w:color w:val="000000"/>
        </w:rPr>
      </w:r>
      <w:r/>
    </w:p>
    <w:p>
      <w:pPr>
        <w:pStyle w:val="748"/>
        <w:ind w:firstLine="480"/>
        <w:jc w:val="both"/>
        <w:spacing w:line="360" w:lineRule="auto"/>
        <w:rPr>
          <w:rFonts w:ascii="宋体" w:hAnsi="宋体" w:eastAsia="宋体"/>
          <w:color w:val="000000"/>
        </w:rPr>
      </w:pPr>
      <w:r>
        <w:rPr>
          <w:rFonts w:hint="eastAsia" w:ascii="宋体" w:hAnsi="宋体" w:eastAsia="宋体"/>
          <w:color w:val="000000"/>
        </w:rPr>
        <w:t xml:space="preserve">本授权委托书声明：我</w:t>
      </w:r>
      <w:r>
        <w:rPr>
          <w:rFonts w:hint="eastAsia" w:ascii="宋体" w:hAnsi="宋体" w:eastAsia="宋体"/>
          <w:color w:val="000000"/>
          <w:u w:val="single"/>
        </w:rPr>
        <w:t xml:space="preserve">（姓名）</w:t>
      </w:r>
      <w:r>
        <w:rPr>
          <w:rFonts w:hint="eastAsia" w:ascii="宋体" w:hAnsi="宋体" w:eastAsia="宋体"/>
          <w:color w:val="000000"/>
        </w:rPr>
        <w:t xml:space="preserve">系</w:t>
      </w:r>
      <w:r>
        <w:rPr>
          <w:rFonts w:hint="eastAsia" w:ascii="宋体" w:hAnsi="宋体" w:eastAsia="宋体"/>
          <w:color w:val="000000"/>
          <w:u w:val="single"/>
        </w:rPr>
        <w:t xml:space="preserve">（投标单位名称）</w:t>
      </w:r>
      <w:r>
        <w:rPr>
          <w:rFonts w:hint="eastAsia" w:ascii="宋体" w:hAnsi="宋体" w:eastAsia="宋体"/>
          <w:color w:val="000000"/>
        </w:rPr>
        <w:t xml:space="preserve">的法定代表人，现授权委托</w:t>
      </w:r>
      <w:r>
        <w:rPr>
          <w:rFonts w:hint="eastAsia" w:ascii="宋体" w:hAnsi="宋体" w:eastAsia="宋体"/>
          <w:color w:val="000000"/>
          <w:u w:val="single"/>
        </w:rPr>
        <w:t xml:space="preserve">（投标单位名称）</w:t>
      </w:r>
      <w:r>
        <w:rPr>
          <w:rFonts w:hint="eastAsia" w:ascii="宋体" w:hAnsi="宋体" w:eastAsia="宋体"/>
          <w:color w:val="000000"/>
        </w:rPr>
        <w:t xml:space="preserve">的</w:t>
      </w:r>
      <w:r>
        <w:rPr>
          <w:rFonts w:hint="eastAsia" w:ascii="宋体" w:hAnsi="宋体" w:eastAsia="宋体"/>
          <w:color w:val="000000"/>
          <w:u w:val="single"/>
        </w:rPr>
        <w:t xml:space="preserve">（姓名）</w:t>
      </w:r>
      <w:r>
        <w:rPr>
          <w:rFonts w:hint="eastAsia" w:ascii="宋体" w:hAnsi="宋体" w:eastAsia="宋体"/>
          <w:color w:val="000000"/>
        </w:rPr>
        <w:t xml:space="preserve">为我公司代理人，以本公司的名义参加苏州鸿鑫工程咨询有限公司组织实施的编号为</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rPr>
        <w:t xml:space="preserve">号第</w:t>
      </w:r>
      <w:r>
        <w:rPr>
          <w:rFonts w:hint="eastAsia" w:ascii="宋体" w:hAnsi="宋体" w:eastAsia="宋体"/>
          <w:color w:val="000000"/>
          <w:u w:val="single"/>
        </w:rPr>
        <w:t xml:space="preserve">    </w:t>
      </w:r>
      <w:r>
        <w:rPr>
          <w:rFonts w:hint="eastAsia" w:ascii="宋体" w:hAnsi="宋体" w:eastAsia="宋体"/>
          <w:color w:val="000000"/>
        </w:rPr>
        <w:t xml:space="preserve">标标段的招标活动。代理人在开标、评标、合同招标过程中所签署的一切文件和处理与这有关的一切事务，我均予以承认。</w:t>
      </w:r>
      <w:r>
        <w:rPr>
          <w:rFonts w:ascii="宋体" w:hAnsi="宋体" w:eastAsia="宋体"/>
          <w:color w:val="000000"/>
        </w:rPr>
      </w:r>
      <w:r/>
    </w:p>
    <w:p>
      <w:pPr>
        <w:pStyle w:val="748"/>
        <w:ind w:firstLine="480"/>
        <w:jc w:val="both"/>
        <w:spacing w:line="360" w:lineRule="auto"/>
        <w:rPr>
          <w:rFonts w:ascii="宋体" w:hAnsi="宋体" w:eastAsia="宋体"/>
          <w:color w:val="000000"/>
        </w:rPr>
      </w:pPr>
      <w:r>
        <w:rPr>
          <w:rFonts w:hint="eastAsia" w:ascii="宋体" w:hAnsi="宋体" w:eastAsia="宋体"/>
          <w:color w:val="000000"/>
        </w:rPr>
        <w:t xml:space="preserve">代理人在授权委托书有效期内签署的所有文件不因授权委托的撤销而失效，除非有撤销授权委托的书面通知，本授权委托书自投标开始至合同履行完毕止。</w:t>
      </w:r>
      <w:r>
        <w:rPr>
          <w:rFonts w:ascii="宋体" w:hAnsi="宋体" w:eastAsia="宋体"/>
          <w:color w:val="000000"/>
        </w:rPr>
      </w:r>
      <w:r/>
    </w:p>
    <w:p>
      <w:pPr>
        <w:pStyle w:val="748"/>
        <w:ind w:firstLine="480"/>
        <w:jc w:val="both"/>
        <w:spacing w:line="360" w:lineRule="auto"/>
        <w:rPr>
          <w:rFonts w:ascii="宋体" w:hAnsi="宋体" w:eastAsia="宋体"/>
          <w:color w:val="000000"/>
        </w:rPr>
      </w:pPr>
      <w:r>
        <w:rPr>
          <w:rFonts w:hint="eastAsia" w:ascii="宋体" w:hAnsi="宋体" w:eastAsia="宋体"/>
          <w:color w:val="000000"/>
        </w:rPr>
        <w:t xml:space="preserve">代理人无转委托权。特此委托。</w:t>
      </w:r>
      <w:r>
        <w:rPr>
          <w:rFonts w:ascii="宋体" w:hAnsi="宋体" w:eastAsia="宋体"/>
          <w:color w:val="000000"/>
        </w:rPr>
      </w:r>
      <w:r/>
    </w:p>
    <w:p>
      <w:pPr>
        <w:pStyle w:val="748"/>
        <w:ind w:firstLine="480"/>
        <w:jc w:val="both"/>
        <w:spacing w:line="360" w:lineRule="auto"/>
        <w:rPr>
          <w:rFonts w:ascii="宋体" w:hAnsi="宋体" w:eastAsia="宋体"/>
          <w:color w:val="000000"/>
        </w:rPr>
      </w:pPr>
      <w:r>
        <w:rPr>
          <w:rFonts w:ascii="宋体" w:hAnsi="宋体" w:eastAsia="宋体"/>
          <w:color w:val="000000"/>
        </w:rPr>
      </w:r>
      <w:r/>
    </w:p>
    <w:p>
      <w:pPr>
        <w:pStyle w:val="748"/>
        <w:ind w:firstLine="480"/>
        <w:jc w:val="both"/>
        <w:spacing w:line="360" w:lineRule="auto"/>
        <w:rPr>
          <w:rFonts w:ascii="宋体" w:hAnsi="宋体" w:eastAsia="宋体"/>
          <w:color w:val="000000"/>
        </w:rPr>
      </w:pPr>
      <w:r>
        <w:rPr>
          <w:rFonts w:ascii="宋体" w:hAnsi="宋体" w:eastAsia="宋体"/>
          <w:color w:val="000000"/>
        </w:rPr>
      </w:r>
      <w:r/>
    </w:p>
    <w:p>
      <w:pPr>
        <w:pStyle w:val="748"/>
        <w:ind w:firstLine="480"/>
        <w:jc w:val="both"/>
        <w:spacing w:line="360" w:lineRule="auto"/>
        <w:rPr>
          <w:rFonts w:ascii="宋体" w:hAnsi="宋体" w:eastAsia="宋体"/>
          <w:color w:val="000000"/>
        </w:rPr>
      </w:pPr>
      <w:r>
        <w:rPr>
          <w:rFonts w:hint="eastAsia" w:ascii="宋体" w:hAnsi="宋体" w:eastAsia="宋体"/>
          <w:color w:val="000000"/>
        </w:rPr>
        <w:t xml:space="preserve">投标单位：（盖章）</w:t>
      </w:r>
      <w:r>
        <w:rPr>
          <w:rFonts w:ascii="宋体" w:hAnsi="宋体" w:eastAsia="宋体"/>
          <w:color w:val="000000"/>
        </w:rPr>
      </w:r>
      <w:r/>
    </w:p>
    <w:p>
      <w:pPr>
        <w:pStyle w:val="748"/>
        <w:ind w:firstLine="480"/>
        <w:jc w:val="both"/>
        <w:spacing w:line="360" w:lineRule="auto"/>
        <w:rPr>
          <w:rFonts w:ascii="宋体" w:hAnsi="宋体" w:eastAsia="宋体"/>
          <w:color w:val="000000"/>
        </w:rPr>
      </w:pPr>
      <w:r>
        <w:rPr>
          <w:rFonts w:hint="eastAsia" w:ascii="宋体" w:hAnsi="宋体" w:eastAsia="宋体"/>
          <w:color w:val="000000"/>
        </w:rPr>
        <w:t xml:space="preserve">法定代表人：（签字或盖章）</w:t>
      </w:r>
      <w:r>
        <w:rPr>
          <w:rFonts w:ascii="宋体" w:hAnsi="宋体" w:eastAsia="宋体"/>
          <w:color w:val="000000"/>
        </w:rPr>
      </w:r>
      <w:r/>
    </w:p>
    <w:p>
      <w:pPr>
        <w:pStyle w:val="748"/>
        <w:ind w:firstLine="480"/>
        <w:jc w:val="both"/>
        <w:spacing w:line="360" w:lineRule="auto"/>
        <w:rPr>
          <w:rFonts w:ascii="宋体" w:hAnsi="宋体" w:eastAsia="宋体"/>
          <w:color w:val="000000"/>
        </w:rPr>
      </w:pPr>
      <w:r>
        <w:rPr>
          <w:rFonts w:hint="eastAsia" w:ascii="宋体" w:hAnsi="宋体" w:eastAsia="宋体"/>
          <w:color w:val="000000"/>
        </w:rPr>
        <w:t xml:space="preserve">代理人：（签字或盖章）</w:t>
      </w:r>
      <w:r>
        <w:rPr>
          <w:rFonts w:ascii="宋体" w:hAnsi="宋体" w:eastAsia="宋体"/>
          <w:color w:val="000000"/>
        </w:rPr>
      </w:r>
      <w:r/>
    </w:p>
    <w:p>
      <w:pPr>
        <w:pStyle w:val="1113"/>
        <w:ind w:firstLine="480"/>
        <w:spacing w:line="360" w:lineRule="auto"/>
        <w:rPr>
          <w:rFonts w:hAnsi="宋体" w:eastAsia="宋体"/>
          <w:color w:val="000000"/>
          <w:sz w:val="24"/>
        </w:rPr>
      </w:pPr>
      <w:r>
        <w:rPr>
          <w:rFonts w:hint="eastAsia" w:hAnsi="宋体" w:eastAsia="宋体"/>
          <w:color w:val="000000"/>
          <w:sz w:val="24"/>
        </w:rPr>
        <w:t xml:space="preserve">日期： 年 月 日</w:t>
      </w:r>
      <w:r>
        <w:rPr>
          <w:rFonts w:hAnsi="宋体" w:eastAsia="宋体"/>
          <w:color w:val="000000"/>
          <w:sz w:val="24"/>
        </w:rPr>
      </w:r>
      <w:r/>
    </w:p>
    <w:p>
      <w:pPr>
        <w:pStyle w:val="748"/>
        <w:jc w:val="right"/>
        <w:rPr>
          <w:rFonts w:ascii="宋体" w:hAnsi="宋体" w:eastAsia="宋体"/>
          <w:color w:val="000000"/>
        </w:rPr>
      </w:pPr>
      <w:r>
        <w:rPr>
          <w:rFonts w:ascii="宋体" w:hAnsi="宋体" w:eastAsia="宋体"/>
          <w:color w:val="000000"/>
        </w:rPr>
      </w:r>
      <w:r/>
    </w:p>
    <w:p>
      <w:pPr>
        <w:pStyle w:val="748"/>
        <w:jc w:val="right"/>
        <w:rPr>
          <w:rFonts w:ascii="宋体" w:hAnsi="宋体" w:eastAsia="宋体"/>
          <w:color w:val="000000"/>
        </w:rPr>
      </w:pPr>
      <w:r>
        <w:rPr>
          <w:rFonts w:ascii="宋体" w:hAnsi="宋体" w:eastAsia="宋体"/>
          <w:color w:val="000000"/>
        </w:rPr>
      </w:r>
      <w:r/>
    </w:p>
    <w:p>
      <w:pPr>
        <w:pStyle w:val="748"/>
        <w:jc w:val="right"/>
        <w:rPr>
          <w:rFonts w:ascii="宋体" w:hAnsi="宋体" w:eastAsia="宋体"/>
          <w:color w:val="000000"/>
        </w:rPr>
      </w:pPr>
      <w:r>
        <w:rPr>
          <w:rFonts w:ascii="宋体" w:hAnsi="宋体" w:eastAsia="宋体"/>
          <w:color w:val="000000"/>
        </w:rPr>
      </w:r>
      <w:r/>
    </w:p>
    <w:p>
      <w:pPr>
        <w:pStyle w:val="748"/>
        <w:jc w:val="center"/>
        <w:rPr>
          <w:rFonts w:ascii="宋体" w:hAnsi="宋体" w:eastAsia="宋体"/>
          <w:color w:val="000000"/>
        </w:rPr>
      </w:pPr>
      <w:r>
        <w:rPr>
          <w:rFonts w:ascii="宋体" w:hAnsi="宋体" w:eastAsia="宋体"/>
          <w:color w:val="000000"/>
        </w:rPr>
      </w:r>
      <w:r/>
    </w:p>
    <w:p>
      <w:pPr>
        <w:pStyle w:val="748"/>
        <w:jc w:val="center"/>
        <w:rPr>
          <w:rFonts w:ascii="宋体" w:hAnsi="宋体" w:eastAsia="宋体"/>
          <w:b/>
          <w:color w:val="000000"/>
        </w:rPr>
      </w:pPr>
      <w:r>
        <w:rPr>
          <w:rFonts w:ascii="宋体" w:hAnsi="宋体" w:eastAsia="宋体"/>
          <w:b/>
          <w:color w:val="000000"/>
        </w:rPr>
        <w:br w:type="page" w:clear="all"/>
      </w:r>
      <w:r>
        <w:rPr>
          <w:rFonts w:ascii="宋体" w:hAnsi="宋体" w:eastAsia="宋体"/>
          <w:b/>
          <w:color w:val="000000"/>
        </w:rPr>
      </w:r>
      <w:r/>
    </w:p>
    <w:p>
      <w:pPr>
        <w:pStyle w:val="748"/>
        <w:ind w:firstLine="0"/>
        <w:jc w:val="both"/>
        <w:spacing w:line="360" w:lineRule="auto"/>
        <w:rPr>
          <w:rFonts w:ascii="宋体" w:hAnsi="宋体" w:eastAsia="宋体"/>
          <w:b/>
          <w:color w:val="000000"/>
        </w:rPr>
        <w:outlineLvl w:val="1"/>
      </w:pPr>
      <w:r>
        <w:rPr>
          <w:rFonts w:hint="eastAsia" w:ascii="宋体" w:hAnsi="宋体" w:eastAsia="宋体"/>
          <w:b/>
          <w:color w:val="000000"/>
        </w:rPr>
        <w:t xml:space="preserve">2、投标函</w:t>
      </w:r>
      <w:r>
        <w:rPr>
          <w:rFonts w:ascii="宋体" w:hAnsi="宋体" w:eastAsia="宋体"/>
          <w:b/>
          <w:color w:val="000000"/>
        </w:rPr>
      </w:r>
      <w:r/>
    </w:p>
    <w:p>
      <w:pPr>
        <w:pStyle w:val="1021"/>
        <w:jc w:val="center"/>
        <w:spacing w:line="320" w:lineRule="exact"/>
        <w:rPr>
          <w:rFonts w:hAnsi="宋体" w:eastAsia="宋体"/>
          <w:color w:val="000000"/>
          <w:sz w:val="24"/>
          <w:szCs w:val="24"/>
        </w:rPr>
      </w:pPr>
      <w:r>
        <w:rPr>
          <w:rFonts w:hint="eastAsia" w:hAnsi="宋体" w:eastAsia="宋体"/>
          <w:color w:val="000000"/>
          <w:sz w:val="24"/>
          <w:szCs w:val="24"/>
        </w:rPr>
        <w:t xml:space="preserve">投标函</w:t>
      </w:r>
      <w:r>
        <w:rPr>
          <w:rFonts w:hAnsi="宋体" w:eastAsia="宋体"/>
          <w:color w:val="000000"/>
          <w:sz w:val="24"/>
          <w:szCs w:val="24"/>
        </w:rPr>
      </w:r>
      <w:r/>
    </w:p>
    <w:p>
      <w:pPr>
        <w:pStyle w:val="1021"/>
        <w:jc w:val="center"/>
        <w:spacing w:line="320" w:lineRule="exact"/>
        <w:rPr>
          <w:rFonts w:hAnsi="宋体" w:eastAsia="宋体"/>
          <w:color w:val="000000"/>
          <w:sz w:val="24"/>
          <w:szCs w:val="24"/>
        </w:rPr>
      </w:pPr>
      <w:r>
        <w:rPr>
          <w:rFonts w:hAnsi="宋体" w:eastAsia="宋体"/>
          <w:color w:val="000000"/>
          <w:sz w:val="24"/>
          <w:szCs w:val="24"/>
        </w:rPr>
      </w:r>
      <w:r/>
    </w:p>
    <w:p>
      <w:pPr>
        <w:pStyle w:val="1021"/>
        <w:spacing w:line="320" w:lineRule="exact"/>
        <w:rPr>
          <w:rFonts w:hAnsi="宋体" w:eastAsia="宋体"/>
          <w:color w:val="000000"/>
          <w:sz w:val="24"/>
        </w:rPr>
      </w:pPr>
      <w:r>
        <w:rPr>
          <w:rFonts w:hint="eastAsia" w:hAnsi="宋体" w:eastAsia="宋体"/>
          <w:color w:val="000000"/>
          <w:sz w:val="24"/>
          <w:u w:val="single"/>
        </w:rPr>
        <w:t xml:space="preserve">苏州鸿鑫工程咨询有限公司</w:t>
      </w:r>
      <w:r>
        <w:rPr>
          <w:rFonts w:hint="eastAsia" w:hAnsi="宋体" w:eastAsia="宋体"/>
          <w:color w:val="000000"/>
          <w:sz w:val="24"/>
        </w:rPr>
        <w:t xml:space="preserve">：</w:t>
      </w:r>
      <w:r>
        <w:rPr>
          <w:rFonts w:hAnsi="宋体" w:eastAsia="宋体"/>
          <w:color w:val="000000"/>
          <w:sz w:val="24"/>
        </w:rPr>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我们收到贵公司</w:t>
      </w:r>
      <w:r>
        <w:rPr>
          <w:rFonts w:hint="eastAsia" w:hAnsi="宋体" w:eastAsia="宋体"/>
          <w:color w:val="000000"/>
          <w:sz w:val="24"/>
          <w:u w:val="single"/>
        </w:rPr>
        <w:t xml:space="preserve">JSZC-320500-SZHX-G2025-0045</w:t>
      </w:r>
      <w:r>
        <w:rPr>
          <w:rFonts w:hint="eastAsia" w:hAnsi="宋体" w:eastAsia="宋体"/>
          <w:color w:val="000000"/>
          <w:sz w:val="24"/>
        </w:rPr>
        <w:t xml:space="preserve">号第</w:t>
      </w:r>
      <w:r>
        <w:rPr>
          <w:rFonts w:hint="eastAsia" w:hAnsi="宋体" w:eastAsia="宋体"/>
          <w:color w:val="000000"/>
          <w:sz w:val="24"/>
          <w:u w:val="single"/>
        </w:rPr>
        <w:t xml:space="preserve">    </w:t>
      </w:r>
      <w:r>
        <w:rPr>
          <w:rFonts w:hint="eastAsia" w:hAnsi="宋体" w:eastAsia="宋体"/>
          <w:color w:val="000000"/>
          <w:sz w:val="24"/>
        </w:rPr>
        <w:t xml:space="preserve">标段招标文件，经仔细阅读和研究，我们决定参加投标。</w:t>
      </w:r>
      <w:r>
        <w:rPr>
          <w:rFonts w:hAnsi="宋体" w:eastAsia="宋体"/>
          <w:color w:val="000000"/>
          <w:sz w:val="24"/>
        </w:rPr>
      </w:r>
      <w:r/>
    </w:p>
    <w:p>
      <w:pPr>
        <w:pStyle w:val="1021"/>
        <w:ind w:firstLine="480"/>
        <w:spacing w:line="320" w:lineRule="exact"/>
        <w:rPr>
          <w:rFonts w:hAnsi="宋体" w:eastAsia="宋体" w:cs="宋体"/>
          <w:sz w:val="24"/>
          <w:szCs w:val="24"/>
        </w:rPr>
      </w:pPr>
      <w:r>
        <w:rPr>
          <w:rFonts w:hAnsi="宋体" w:eastAsia="宋体"/>
          <w:color w:val="000000"/>
          <w:sz w:val="24"/>
        </w:rPr>
        <w:t xml:space="preserve">1</w:t>
      </w:r>
      <w:r>
        <w:rPr>
          <w:rFonts w:hint="eastAsia" w:hAnsi="宋体" w:eastAsia="宋体"/>
          <w:color w:val="000000"/>
          <w:sz w:val="24"/>
        </w:rPr>
        <w:t xml:space="preserve">、我们愿意按照招标文件的一切要求完成该项目的全部内容，我们的所投总价包括配送服务、设备、材料、人工、食宿、差旅、加班、税费、技术支持与培训及相关劳务支出、招标代理服务费等履行本合同所发生的全部费用以及中标单位的企业利润、税金和政策性文件规定及合同包含的所有风险、责任等各项应有费用。</w:t>
      </w:r>
      <w:r>
        <w:rPr>
          <w:rFonts w:hint="eastAsia" w:hAnsi="宋体" w:eastAsia="宋体" w:cs="宋体"/>
          <w:sz w:val="24"/>
          <w:szCs w:val="24"/>
        </w:rPr>
        <w:t xml:space="preserve">除非合同条款中另有规定，否则投标单位所报价格在合同实施期间不因市场变化因素而变动。</w:t>
      </w:r>
      <w:r>
        <w:rPr>
          <w:rFonts w:hAnsi="宋体" w:eastAsia="宋体" w:cs="宋体"/>
          <w:sz w:val="24"/>
          <w:szCs w:val="24"/>
        </w:rPr>
      </w:r>
      <w:r/>
    </w:p>
    <w:p>
      <w:pPr>
        <w:pStyle w:val="1021"/>
        <w:ind w:firstLine="480"/>
        <w:spacing w:line="320" w:lineRule="exact"/>
        <w:rPr>
          <w:rFonts w:hAnsi="宋体" w:eastAsia="宋体"/>
          <w:color w:val="000000"/>
          <w:sz w:val="24"/>
        </w:rPr>
      </w:pPr>
      <w:r>
        <w:rPr>
          <w:rFonts w:hAnsi="宋体" w:eastAsia="宋体"/>
          <w:color w:val="000000"/>
          <w:sz w:val="24"/>
        </w:rPr>
        <w:t xml:space="preserve">2</w:t>
      </w:r>
      <w:r>
        <w:rPr>
          <w:rFonts w:hint="eastAsia" w:hAnsi="宋体" w:eastAsia="宋体"/>
          <w:color w:val="000000"/>
          <w:sz w:val="24"/>
        </w:rPr>
        <w:t xml:space="preserve">、如果我们的投标书被接受，我们将严格履行招标文件中规定的每一项要求，按期、按质、按量履行合同的义务。</w:t>
      </w:r>
      <w:r>
        <w:rPr>
          <w:rFonts w:hAnsi="宋体" w:eastAsia="宋体"/>
          <w:color w:val="000000"/>
          <w:sz w:val="24"/>
        </w:rPr>
      </w:r>
      <w:r/>
    </w:p>
    <w:p>
      <w:pPr>
        <w:pStyle w:val="1021"/>
        <w:ind w:firstLine="480"/>
        <w:spacing w:line="320" w:lineRule="exact"/>
        <w:rPr>
          <w:rFonts w:hAnsi="宋体" w:eastAsia="宋体"/>
          <w:color w:val="000000"/>
          <w:sz w:val="24"/>
        </w:rPr>
      </w:pPr>
      <w:r>
        <w:rPr>
          <w:rFonts w:hAnsi="宋体" w:eastAsia="宋体"/>
          <w:color w:val="000000"/>
          <w:sz w:val="24"/>
        </w:rPr>
        <w:t xml:space="preserve">3</w:t>
      </w:r>
      <w:r>
        <w:rPr>
          <w:rFonts w:hint="eastAsia" w:hAnsi="宋体" w:eastAsia="宋体"/>
          <w:color w:val="000000"/>
          <w:sz w:val="24"/>
        </w:rPr>
        <w:t xml:space="preserve">、我们已</w:t>
      </w:r>
      <w:r>
        <w:rPr>
          <w:rFonts w:hAnsi="宋体" w:eastAsia="宋体"/>
          <w:color w:val="000000"/>
          <w:sz w:val="24"/>
        </w:rPr>
        <w:t xml:space="preserve">详细审查全部招标文件，包括</w:t>
      </w:r>
      <w:r>
        <w:rPr>
          <w:rFonts w:hint="eastAsia" w:hAnsi="宋体" w:eastAsia="宋体"/>
          <w:color w:val="000000"/>
          <w:sz w:val="24"/>
        </w:rPr>
        <w:t xml:space="preserve">更正公告</w:t>
      </w:r>
      <w:r>
        <w:rPr>
          <w:rFonts w:hAnsi="宋体" w:eastAsia="宋体"/>
          <w:color w:val="000000"/>
          <w:sz w:val="24"/>
        </w:rPr>
        <w:t xml:space="preserve">(如果有)。我们完全理解并同意放弃对这方面有不明及误解的权力。</w:t>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4、我们同意按招标文件中的规定，本投标书的有效期限为投标截止</w:t>
      </w:r>
      <w:r>
        <w:rPr>
          <w:rFonts w:hAnsi="宋体" w:eastAsia="宋体"/>
          <w:color w:val="000000"/>
          <w:sz w:val="24"/>
        </w:rPr>
        <w:t xml:space="preserve">日起</w:t>
      </w:r>
      <w:r>
        <w:rPr>
          <w:rFonts w:hint="eastAsia" w:hAnsi="宋体" w:eastAsia="宋体"/>
          <w:color w:val="000000"/>
          <w:sz w:val="24"/>
          <w:u w:val="single"/>
        </w:rPr>
        <w:t xml:space="preserve">六十</w:t>
      </w:r>
      <w:r>
        <w:rPr>
          <w:rFonts w:hint="eastAsia" w:hAnsi="宋体" w:eastAsia="宋体"/>
          <w:color w:val="000000"/>
          <w:sz w:val="24"/>
        </w:rPr>
        <w:t xml:space="preserve">天。</w:t>
      </w:r>
      <w:r>
        <w:rPr>
          <w:rFonts w:hAnsi="宋体" w:eastAsia="宋体"/>
          <w:color w:val="000000"/>
          <w:sz w:val="24"/>
        </w:rPr>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5、我们愿意提供采购人或采购代理机构在招标文件中要求的所有资料。</w:t>
      </w:r>
      <w:r>
        <w:rPr>
          <w:rFonts w:hAnsi="宋体" w:eastAsia="宋体"/>
          <w:color w:val="000000"/>
          <w:sz w:val="24"/>
        </w:rPr>
      </w:r>
      <w:r/>
    </w:p>
    <w:p>
      <w:pPr>
        <w:pStyle w:val="723"/>
        <w:ind w:firstLine="480"/>
        <w:spacing w:line="320" w:lineRule="exact"/>
        <w:rPr>
          <w:rFonts w:ascii="宋体" w:hAnsi="宋体" w:eastAsia="宋体" w:cs="宋体"/>
          <w:color w:val="000000"/>
          <w:sz w:val="24"/>
          <w:szCs w:val="24"/>
        </w:rPr>
      </w:pPr>
      <w:r>
        <w:rPr>
          <w:rFonts w:hint="eastAsia" w:ascii="宋体" w:hAnsi="宋体" w:eastAsia="宋体"/>
          <w:color w:val="000000"/>
          <w:sz w:val="24"/>
        </w:rPr>
        <w:t xml:space="preserve">6、</w:t>
      </w:r>
      <w:r>
        <w:rPr>
          <w:rFonts w:ascii="宋体" w:hAnsi="宋体" w:eastAsia="宋体" w:cs="宋体"/>
          <w:color w:val="000000"/>
          <w:sz w:val="24"/>
          <w:szCs w:val="24"/>
        </w:rPr>
        <w:t xml:space="preserve">我们声明：我们在参加本次政府采购活动前3年内在经营活动中没有重大违法记录。</w:t>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7、我们愿意遵守招标公告及招标文件中所列的收费标准。</w:t>
      </w:r>
      <w:r>
        <w:rPr>
          <w:rFonts w:hAnsi="宋体" w:eastAsia="宋体"/>
          <w:color w:val="000000"/>
          <w:sz w:val="24"/>
        </w:rPr>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8、我们承诺该项投标在开标后的全过程中保持有效，不作任何更改和变动。</w:t>
      </w:r>
      <w:r>
        <w:rPr>
          <w:rFonts w:hAnsi="宋体" w:eastAsia="宋体"/>
          <w:color w:val="000000"/>
          <w:sz w:val="24"/>
        </w:rPr>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9、我们愿意按招标文件的规定交纳投标保证金，并</w:t>
      </w:r>
      <w:r>
        <w:rPr>
          <w:rFonts w:hAnsi="宋体" w:eastAsia="宋体"/>
          <w:color w:val="000000"/>
          <w:sz w:val="24"/>
        </w:rPr>
        <w:t xml:space="preserve">同意</w:t>
      </w:r>
      <w:r>
        <w:rPr>
          <w:rFonts w:hint="eastAsia" w:hAnsi="宋体" w:eastAsia="宋体"/>
          <w:color w:val="000000"/>
          <w:sz w:val="24"/>
        </w:rPr>
        <w:t xml:space="preserve">投标单位</w:t>
      </w:r>
      <w:r>
        <w:rPr>
          <w:rFonts w:hAnsi="宋体" w:eastAsia="宋体"/>
          <w:color w:val="000000"/>
          <w:sz w:val="24"/>
        </w:rPr>
        <w:t xml:space="preserve">须知中关于</w:t>
      </w:r>
      <w:r>
        <w:rPr>
          <w:rFonts w:hint="eastAsia" w:hAnsi="宋体" w:eastAsia="宋体"/>
          <w:color w:val="000000"/>
          <w:sz w:val="24"/>
        </w:rPr>
        <w:t xml:space="preserve">不予退还</w:t>
      </w:r>
      <w:r>
        <w:rPr>
          <w:rFonts w:hAnsi="宋体" w:eastAsia="宋体"/>
          <w:color w:val="000000"/>
          <w:sz w:val="24"/>
        </w:rPr>
        <w:t xml:space="preserve">投标保证金的规定。</w:t>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10、如果我们中标，我们愿意按招标文件规定支付代理服务费；</w:t>
      </w:r>
      <w:r>
        <w:rPr>
          <w:rFonts w:hAnsi="宋体" w:eastAsia="宋体"/>
          <w:color w:val="000000"/>
          <w:sz w:val="24"/>
        </w:rPr>
      </w:r>
      <w:r/>
    </w:p>
    <w:p>
      <w:pPr>
        <w:pStyle w:val="1021"/>
        <w:ind w:firstLine="480"/>
        <w:spacing w:line="320" w:lineRule="exact"/>
        <w:rPr>
          <w:rFonts w:hAnsi="宋体" w:eastAsia="宋体"/>
          <w:color w:val="000000"/>
          <w:sz w:val="24"/>
        </w:rPr>
      </w:pPr>
      <w:r>
        <w:rPr>
          <w:rFonts w:hAnsi="宋体" w:eastAsia="宋体"/>
          <w:color w:val="000000"/>
          <w:sz w:val="24"/>
        </w:rPr>
        <w:t xml:space="preserve">1</w:t>
      </w:r>
      <w:r>
        <w:rPr>
          <w:rFonts w:hint="eastAsia" w:hAnsi="宋体" w:eastAsia="宋体"/>
          <w:color w:val="000000"/>
          <w:sz w:val="24"/>
        </w:rPr>
        <w:t xml:space="preserve">1、我们承诺我公司符合招标文件投标单位须知中“合格投标单位的资格条件”的要求，若与真实情况不符，本公司愿意承担由此而产生的一切后果。</w:t>
      </w:r>
      <w:r>
        <w:rPr>
          <w:rFonts w:hAnsi="宋体" w:eastAsia="宋体"/>
          <w:color w:val="000000"/>
          <w:sz w:val="24"/>
        </w:rPr>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12、综合说明：</w:t>
      </w:r>
      <w:r>
        <w:rPr>
          <w:rFonts w:hAnsi="宋体" w:eastAsia="宋体"/>
          <w:color w:val="000000"/>
          <w:sz w:val="24"/>
        </w:rPr>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w:t>
      </w:r>
      <w:r>
        <w:rPr>
          <w:rFonts w:hAnsi="宋体" w:eastAsia="宋体"/>
          <w:color w:val="000000"/>
          <w:sz w:val="24"/>
        </w:rPr>
        <w:t xml:space="preserve">1</w:t>
      </w:r>
      <w:r>
        <w:rPr>
          <w:rFonts w:hint="eastAsia" w:hAnsi="宋体" w:eastAsia="宋体"/>
          <w:color w:val="000000"/>
          <w:sz w:val="24"/>
        </w:rPr>
        <w:t xml:space="preserve">）伴随服务及配合措施；</w:t>
      </w:r>
      <w:r>
        <w:rPr>
          <w:rFonts w:hAnsi="宋体" w:eastAsia="宋体"/>
          <w:color w:val="000000"/>
          <w:sz w:val="24"/>
        </w:rPr>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w:t>
      </w:r>
      <w:r>
        <w:rPr>
          <w:rFonts w:hAnsi="宋体" w:eastAsia="宋体"/>
          <w:color w:val="000000"/>
          <w:sz w:val="24"/>
        </w:rPr>
        <w:t xml:space="preserve">2</w:t>
      </w:r>
      <w:r>
        <w:rPr>
          <w:rFonts w:hint="eastAsia" w:hAnsi="宋体" w:eastAsia="宋体"/>
          <w:color w:val="000000"/>
          <w:sz w:val="24"/>
        </w:rPr>
        <w:t xml:space="preserve">）要求甲方提供的配合；</w:t>
      </w:r>
      <w:r>
        <w:rPr>
          <w:rFonts w:hAnsi="宋体" w:eastAsia="宋体"/>
          <w:color w:val="000000"/>
          <w:sz w:val="24"/>
        </w:rPr>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w:t>
      </w:r>
      <w:r>
        <w:rPr>
          <w:rFonts w:hAnsi="宋体" w:eastAsia="宋体"/>
          <w:color w:val="000000"/>
          <w:sz w:val="24"/>
        </w:rPr>
        <w:t xml:space="preserve">3</w:t>
      </w:r>
      <w:r>
        <w:rPr>
          <w:rFonts w:hint="eastAsia" w:hAnsi="宋体" w:eastAsia="宋体"/>
          <w:color w:val="000000"/>
          <w:sz w:val="24"/>
        </w:rPr>
        <w:t xml:space="preserve">）对招标文件有不同意见的偏离说明；</w:t>
      </w:r>
      <w:r>
        <w:rPr>
          <w:rFonts w:hAnsi="宋体" w:eastAsia="宋体"/>
          <w:color w:val="000000"/>
          <w:sz w:val="24"/>
        </w:rPr>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w:t>
      </w:r>
      <w:r>
        <w:rPr>
          <w:rFonts w:hAnsi="宋体" w:eastAsia="宋体"/>
          <w:color w:val="000000"/>
          <w:sz w:val="24"/>
        </w:rPr>
        <w:t xml:space="preserve">4</w:t>
      </w:r>
      <w:r>
        <w:rPr>
          <w:rFonts w:hint="eastAsia" w:hAnsi="宋体" w:eastAsia="宋体"/>
          <w:color w:val="000000"/>
          <w:sz w:val="24"/>
        </w:rPr>
        <w:t xml:space="preserve">）其它说明。</w:t>
      </w:r>
      <w:r>
        <w:rPr>
          <w:rFonts w:hAnsi="宋体" w:eastAsia="宋体"/>
          <w:color w:val="000000"/>
          <w:sz w:val="24"/>
        </w:rPr>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所有有关标书的函电，请按下列地址联系：</w:t>
      </w:r>
      <w:r>
        <w:rPr>
          <w:rFonts w:hAnsi="宋体" w:eastAsia="宋体"/>
          <w:color w:val="000000"/>
          <w:sz w:val="24"/>
        </w:rPr>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单位：联系人：</w:t>
      </w:r>
      <w:r>
        <w:rPr>
          <w:rFonts w:hAnsi="宋体" w:eastAsia="宋体"/>
          <w:color w:val="000000"/>
          <w:sz w:val="24"/>
        </w:rPr>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地址：邮政编码：</w:t>
      </w:r>
      <w:r>
        <w:rPr>
          <w:rFonts w:hAnsi="宋体" w:eastAsia="宋体"/>
          <w:color w:val="000000"/>
          <w:sz w:val="24"/>
        </w:rPr>
      </w:r>
      <w:r/>
    </w:p>
    <w:p>
      <w:pPr>
        <w:pStyle w:val="1021"/>
        <w:ind w:firstLine="480"/>
        <w:spacing w:line="320" w:lineRule="exact"/>
        <w:rPr>
          <w:rFonts w:hAnsi="宋体" w:eastAsia="宋体"/>
          <w:color w:val="000000"/>
          <w:sz w:val="24"/>
        </w:rPr>
      </w:pPr>
      <w:r>
        <w:rPr>
          <w:rFonts w:hint="eastAsia" w:hAnsi="宋体" w:eastAsia="宋体"/>
          <w:color w:val="000000"/>
          <w:sz w:val="24"/>
        </w:rPr>
        <w:t xml:space="preserve">联系电话：传真：</w:t>
      </w:r>
      <w:r>
        <w:rPr>
          <w:rFonts w:hAnsi="宋体" w:eastAsia="宋体"/>
          <w:color w:val="000000"/>
          <w:sz w:val="24"/>
        </w:rPr>
      </w:r>
      <w:r/>
    </w:p>
    <w:p>
      <w:pPr>
        <w:pStyle w:val="1021"/>
        <w:ind w:firstLine="480"/>
        <w:spacing w:line="320" w:lineRule="exact"/>
        <w:rPr>
          <w:rFonts w:hAnsi="宋体" w:eastAsia="宋体"/>
          <w:color w:val="000000"/>
          <w:sz w:val="24"/>
        </w:rPr>
      </w:pPr>
      <w:r>
        <w:rPr>
          <w:rFonts w:hAnsi="宋体" w:eastAsia="宋体"/>
          <w:color w:val="000000"/>
          <w:sz w:val="24"/>
        </w:rPr>
      </w:r>
      <w:r/>
    </w:p>
    <w:p>
      <w:pPr>
        <w:pStyle w:val="1019"/>
        <w:rPr>
          <w:rFonts w:hAnsi="宋体" w:eastAsia="宋体"/>
          <w:color w:val="000000"/>
          <w:sz w:val="24"/>
        </w:rPr>
      </w:pPr>
      <w:r>
        <w:rPr>
          <w:rFonts w:hint="eastAsia" w:hAnsi="宋体" w:eastAsia="宋体"/>
          <w:color w:val="000000"/>
          <w:sz w:val="24"/>
        </w:rPr>
        <w:t xml:space="preserve">投标单位：（单位盖章）</w:t>
      </w:r>
      <w:r>
        <w:rPr>
          <w:rFonts w:hAnsi="宋体" w:eastAsia="宋体"/>
          <w:color w:val="000000"/>
          <w:sz w:val="24"/>
        </w:rPr>
      </w:r>
      <w:r/>
    </w:p>
    <w:p>
      <w:pPr>
        <w:pStyle w:val="1019"/>
        <w:rPr>
          <w:rFonts w:hAnsi="宋体" w:eastAsia="宋体"/>
          <w:color w:val="000000"/>
          <w:sz w:val="24"/>
        </w:rPr>
      </w:pPr>
      <w:r>
        <w:rPr>
          <w:rFonts w:hint="eastAsia" w:hAnsi="宋体" w:eastAsia="宋体"/>
          <w:color w:val="000000"/>
          <w:sz w:val="24"/>
        </w:rPr>
        <w:t xml:space="preserve">法定代表人或代理人：（签字或盖章）</w:t>
      </w:r>
      <w:r>
        <w:rPr>
          <w:rFonts w:hAnsi="宋体" w:eastAsia="宋体"/>
          <w:color w:val="000000"/>
          <w:sz w:val="24"/>
        </w:rPr>
      </w:r>
      <w:r/>
    </w:p>
    <w:p>
      <w:pPr>
        <w:pStyle w:val="1019"/>
        <w:rPr>
          <w:rFonts w:hAnsi="宋体" w:eastAsia="宋体"/>
          <w:color w:val="000000"/>
          <w:sz w:val="24"/>
        </w:rPr>
      </w:pPr>
      <w:r>
        <w:rPr>
          <w:rFonts w:hint="eastAsia" w:hAnsi="宋体" w:eastAsia="宋体"/>
          <w:color w:val="000000"/>
          <w:sz w:val="24"/>
        </w:rPr>
        <w:t xml:space="preserve">日期：        年   月   日</w:t>
      </w:r>
      <w:r>
        <w:rPr>
          <w:rFonts w:hAnsi="宋体" w:eastAsia="宋体"/>
          <w:color w:val="000000"/>
          <w:sz w:val="24"/>
        </w:rPr>
      </w:r>
      <w:r/>
    </w:p>
    <w:p>
      <w:pPr>
        <w:pStyle w:val="1021"/>
        <w:spacing w:line="360" w:lineRule="auto"/>
        <w:rPr>
          <w:rFonts w:hAnsi="宋体" w:eastAsia="宋体"/>
          <w:b/>
          <w:color w:val="000000"/>
          <w:sz w:val="24"/>
          <w:szCs w:val="24"/>
        </w:rPr>
        <w:outlineLvl w:val="1"/>
      </w:pPr>
      <w:r>
        <w:rPr>
          <w:rFonts w:hAnsi="宋体" w:eastAsia="宋体"/>
          <w:color w:val="000000"/>
        </w:rPr>
        <w:br w:type="page" w:clear="all"/>
      </w:r>
      <w:r>
        <w:rPr>
          <w:rFonts w:hint="eastAsia" w:hAnsi="宋体" w:eastAsia="宋体"/>
          <w:b/>
          <w:color w:val="000000"/>
          <w:sz w:val="24"/>
          <w:szCs w:val="24"/>
        </w:rPr>
        <w:t xml:space="preserve">3、开标一览表</w:t>
      </w:r>
      <w:r>
        <w:rPr>
          <w:rFonts w:hAnsi="宋体" w:eastAsia="宋体"/>
          <w:b/>
          <w:color w:val="000000"/>
          <w:sz w:val="24"/>
          <w:szCs w:val="24"/>
        </w:rPr>
      </w:r>
      <w:r/>
    </w:p>
    <w:p>
      <w:pPr>
        <w:pStyle w:val="1019"/>
        <w:jc w:val="center"/>
        <w:spacing w:line="360" w:lineRule="auto"/>
        <w:rPr>
          <w:rFonts w:hAnsi="宋体" w:eastAsia="宋体"/>
          <w:color w:val="000000"/>
          <w:sz w:val="24"/>
          <w:szCs w:val="24"/>
        </w:rPr>
      </w:pPr>
      <w:r>
        <w:rPr>
          <w:rFonts w:hint="eastAsia" w:hAnsi="宋体" w:eastAsia="宋体"/>
          <w:color w:val="000000"/>
          <w:sz w:val="24"/>
          <w:szCs w:val="24"/>
        </w:rPr>
        <w:t xml:space="preserve">开标一览表（以电子投标制作工具中格式为准）</w:t>
      </w:r>
      <w:r>
        <w:rPr>
          <w:rFonts w:hAnsi="宋体" w:eastAsia="宋体"/>
          <w:color w:val="000000"/>
          <w:sz w:val="24"/>
          <w:szCs w:val="24"/>
        </w:rPr>
      </w:r>
      <w:r/>
    </w:p>
    <w:p>
      <w:pPr>
        <w:pStyle w:val="1019"/>
        <w:spacing w:line="360" w:lineRule="auto"/>
        <w:rPr>
          <w:rFonts w:hAnsi="宋体" w:eastAsia="宋体"/>
          <w:color w:val="000000"/>
          <w:sz w:val="24"/>
          <w:szCs w:val="24"/>
        </w:rPr>
      </w:pPr>
      <w:r>
        <w:rPr>
          <w:rFonts w:hint="eastAsia" w:hAnsi="宋体" w:eastAsia="宋体"/>
          <w:color w:val="000000"/>
          <w:sz w:val="24"/>
          <w:szCs w:val="24"/>
        </w:rPr>
        <w:t xml:space="preserve">投标单位全称（加盖公章）： </w:t>
      </w:r>
      <w:r>
        <w:rPr>
          <w:rFonts w:hAnsi="宋体" w:eastAsia="宋体"/>
          <w:color w:val="000000"/>
          <w:sz w:val="24"/>
          <w:szCs w:val="24"/>
        </w:rPr>
        <w:t xml:space="preserve">                     </w:t>
      </w:r>
      <w:r>
        <w:rPr>
          <w:rFonts w:hint="eastAsia" w:hAnsi="宋体" w:eastAsia="宋体"/>
          <w:color w:val="000000"/>
          <w:sz w:val="24"/>
          <w:szCs w:val="24"/>
        </w:rPr>
        <w:t xml:space="preserve">项目编号：     标段号：</w:t>
      </w:r>
      <w:r>
        <w:rPr>
          <w:rFonts w:hAnsi="宋体" w:eastAsia="宋体"/>
          <w:color w:val="000000"/>
          <w:sz w:val="24"/>
          <w:szCs w:val="24"/>
        </w:rPr>
      </w:r>
      <w:r/>
    </w:p>
    <w:tbl>
      <w:tblPr>
        <w:tblW w:w="948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97"/>
        <w:gridCol w:w="2457"/>
        <w:gridCol w:w="2283"/>
        <w:gridCol w:w="2700"/>
      </w:tblGrid>
      <w:tr>
        <w:trPr>
          <w:cantSplit/>
          <w:trHeight w:val="602"/>
        </w:trPr>
        <w:tc>
          <w:tcPr>
            <w:tcW w:w="846" w:type="dxa"/>
            <w:vAlign w:val="center"/>
            <w:textDirection w:val="lrTb"/>
            <w:noWrap w:val="false"/>
          </w:tcPr>
          <w:p>
            <w:pPr>
              <w:pStyle w:val="723"/>
              <w:jc w:val="center"/>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gridSpan w:val="2"/>
            <w:tcW w:w="3654" w:type="dxa"/>
            <w:vAlign w:val="center"/>
            <w:textDirection w:val="lrTb"/>
            <w:noWrap w:val="false"/>
          </w:tcPr>
          <w:p>
            <w:pPr>
              <w:pStyle w:val="723"/>
              <w:jc w:val="center"/>
              <w:spacing w:line="360" w:lineRule="auto"/>
              <w:rPr>
                <w:rFonts w:ascii="宋体" w:hAnsi="宋体" w:eastAsia="宋体"/>
                <w:sz w:val="24"/>
                <w:szCs w:val="24"/>
              </w:rPr>
            </w:pPr>
            <w:r>
              <w:rPr>
                <w:rFonts w:hint="eastAsia" w:ascii="宋体" w:hAnsi="宋体" w:eastAsia="宋体"/>
                <w:sz w:val="24"/>
                <w:szCs w:val="24"/>
              </w:rPr>
              <w:t xml:space="preserve">项目名称</w:t>
            </w:r>
            <w:r>
              <w:rPr>
                <w:rFonts w:ascii="宋体" w:hAnsi="宋体" w:eastAsia="宋体"/>
                <w:sz w:val="24"/>
                <w:szCs w:val="24"/>
              </w:rPr>
            </w:r>
            <w:r/>
          </w:p>
        </w:tc>
        <w:tc>
          <w:tcPr>
            <w:tcW w:w="2283" w:type="dxa"/>
            <w:vAlign w:val="center"/>
            <w:textDirection w:val="lrTb"/>
            <w:noWrap w:val="false"/>
          </w:tcPr>
          <w:p>
            <w:pPr>
              <w:pStyle w:val="723"/>
              <w:jc w:val="center"/>
              <w:spacing w:line="360" w:lineRule="auto"/>
              <w:rPr>
                <w:rFonts w:ascii="宋体" w:hAnsi="宋体" w:eastAsia="宋体"/>
                <w:sz w:val="24"/>
                <w:szCs w:val="24"/>
              </w:rPr>
            </w:pPr>
            <w:r>
              <w:rPr>
                <w:rFonts w:hint="eastAsia" w:ascii="宋体" w:hAnsi="宋体" w:eastAsia="宋体"/>
                <w:sz w:val="24"/>
                <w:szCs w:val="24"/>
              </w:rPr>
              <w:t xml:space="preserve">优惠率（%）</w:t>
            </w:r>
            <w:r>
              <w:rPr>
                <w:rFonts w:ascii="宋体" w:hAnsi="宋体" w:eastAsia="宋体"/>
                <w:sz w:val="24"/>
                <w:szCs w:val="24"/>
              </w:rPr>
            </w:r>
            <w:r/>
          </w:p>
        </w:tc>
        <w:tc>
          <w:tcPr>
            <w:tcW w:w="2700" w:type="dxa"/>
            <w:vAlign w:val="center"/>
            <w:textDirection w:val="lrTb"/>
            <w:noWrap w:val="false"/>
          </w:tcPr>
          <w:p>
            <w:pPr>
              <w:pStyle w:val="723"/>
              <w:jc w:val="center"/>
              <w:spacing w:line="360" w:lineRule="auto"/>
              <w:rPr>
                <w:rFonts w:ascii="宋体" w:hAnsi="宋体" w:eastAsia="宋体"/>
                <w:sz w:val="24"/>
                <w:szCs w:val="24"/>
              </w:rPr>
            </w:pPr>
            <w:r>
              <w:rPr>
                <w:rFonts w:hint="eastAsia" w:ascii="宋体" w:hAnsi="宋体" w:eastAsia="宋体"/>
                <w:sz w:val="24"/>
                <w:szCs w:val="24"/>
              </w:rPr>
              <w:t xml:space="preserve">服务期限</w:t>
            </w:r>
            <w:r>
              <w:rPr>
                <w:rFonts w:ascii="宋体" w:hAnsi="宋体" w:eastAsia="宋体"/>
                <w:sz w:val="24"/>
                <w:szCs w:val="24"/>
              </w:rPr>
            </w:r>
            <w:r/>
          </w:p>
        </w:tc>
      </w:tr>
      <w:tr>
        <w:trPr>
          <w:cantSplit/>
          <w:trHeight w:val="1047"/>
        </w:trPr>
        <w:tc>
          <w:tcPr>
            <w:tcW w:w="846"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gridSpan w:val="2"/>
            <w:tcW w:w="3654" w:type="dxa"/>
            <w:vAlign w:val="center"/>
            <w:textDirection w:val="lrTb"/>
            <w:noWrap w:val="false"/>
          </w:tcPr>
          <w:p>
            <w:pPr>
              <w:pStyle w:val="723"/>
              <w:spacing w:line="360" w:lineRule="auto"/>
              <w:rPr>
                <w:rFonts w:ascii="宋体" w:hAnsi="宋体" w:eastAsia="宋体"/>
                <w:sz w:val="24"/>
                <w:szCs w:val="24"/>
              </w:rPr>
            </w:pPr>
            <w:r>
              <w:rPr>
                <w:rFonts w:ascii="宋体" w:hAnsi="宋体" w:eastAsia="宋体"/>
                <w:sz w:val="24"/>
                <w:szCs w:val="24"/>
              </w:rPr>
            </w:r>
            <w:r/>
          </w:p>
        </w:tc>
        <w:tc>
          <w:tcPr>
            <w:tcW w:w="2283" w:type="dxa"/>
            <w:vAlign w:val="center"/>
            <w:textDirection w:val="lrTb"/>
            <w:noWrap w:val="false"/>
          </w:tcPr>
          <w:p>
            <w:pPr>
              <w:pStyle w:val="723"/>
              <w:spacing w:line="360" w:lineRule="auto"/>
              <w:rPr>
                <w:rFonts w:ascii="宋体" w:hAnsi="宋体" w:eastAsia="宋体"/>
                <w:sz w:val="24"/>
                <w:szCs w:val="24"/>
              </w:rPr>
            </w:pPr>
            <w:r>
              <w:rPr>
                <w:rFonts w:ascii="宋体" w:hAnsi="宋体" w:eastAsia="宋体"/>
                <w:sz w:val="24"/>
                <w:szCs w:val="24"/>
              </w:rPr>
            </w:r>
            <w:r/>
          </w:p>
        </w:tc>
        <w:tc>
          <w:tcPr>
            <w:tcW w:w="2700" w:type="dxa"/>
            <w:vAlign w:val="center"/>
            <w:textDirection w:val="lrTb"/>
            <w:noWrap w:val="false"/>
          </w:tcPr>
          <w:p>
            <w:pPr>
              <w:pStyle w:val="723"/>
              <w:spacing w:line="360" w:lineRule="auto"/>
              <w:rPr>
                <w:rFonts w:ascii="宋体" w:hAnsi="宋体" w:eastAsia="宋体"/>
                <w:sz w:val="24"/>
                <w:szCs w:val="24"/>
              </w:rPr>
            </w:pPr>
            <w:r>
              <w:rPr>
                <w:rFonts w:ascii="宋体" w:hAnsi="宋体" w:eastAsia="宋体"/>
                <w:sz w:val="24"/>
                <w:szCs w:val="24"/>
              </w:rPr>
            </w:r>
            <w:r/>
          </w:p>
        </w:tc>
      </w:tr>
      <w:tr>
        <w:trPr>
          <w:cantSplit/>
          <w:trHeight w:val="567"/>
        </w:trPr>
        <w:tc>
          <w:tcPr>
            <w:gridSpan w:val="5"/>
            <w:tcW w:w="9483" w:type="dxa"/>
            <w:vAlign w:val="bottom"/>
            <w:textDirection w:val="lrTb"/>
            <w:noWrap w:val="false"/>
          </w:tcPr>
          <w:p>
            <w:pPr>
              <w:pStyle w:val="723"/>
              <w:spacing w:line="360" w:lineRule="auto"/>
              <w:rPr>
                <w:rFonts w:ascii="宋体" w:hAnsi="宋体" w:eastAsia="宋体"/>
                <w:sz w:val="24"/>
                <w:szCs w:val="24"/>
                <w:u w:val="single"/>
              </w:rPr>
            </w:pPr>
            <w:r>
              <w:rPr>
                <w:rFonts w:hint="eastAsia" w:ascii="宋体" w:hAnsi="宋体" w:eastAsia="宋体"/>
                <w:sz w:val="24"/>
                <w:szCs w:val="24"/>
              </w:rPr>
              <w:t xml:space="preserve">投标总报价（人民币大写）：</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 xml:space="preserve">￥：</w:t>
            </w:r>
            <w:r>
              <w:rPr>
                <w:rFonts w:hint="eastAsia" w:ascii="宋体" w:hAnsi="宋体" w:eastAsia="宋体"/>
                <w:sz w:val="24"/>
                <w:szCs w:val="24"/>
                <w:u w:val="single"/>
              </w:rPr>
              <w:t xml:space="preserve">               </w:t>
            </w:r>
            <w:r>
              <w:rPr>
                <w:rFonts w:ascii="宋体" w:hAnsi="宋体" w:eastAsia="宋体"/>
                <w:sz w:val="24"/>
                <w:szCs w:val="24"/>
                <w:u w:val="single"/>
              </w:rPr>
            </w:r>
            <w:r/>
          </w:p>
        </w:tc>
      </w:tr>
      <w:tr>
        <w:trPr>
          <w:cantSplit/>
          <w:trHeight w:val="567"/>
        </w:trPr>
        <w:tc>
          <w:tcPr>
            <w:gridSpan w:val="2"/>
            <w:tcW w:w="2043" w:type="dxa"/>
            <w:vAlign w:val="bottom"/>
            <w:textDirection w:val="lrTb"/>
            <w:noWrap w:val="false"/>
          </w:tcPr>
          <w:p>
            <w:pPr>
              <w:pStyle w:val="723"/>
              <w:spacing w:line="360" w:lineRule="auto"/>
              <w:rPr>
                <w:rFonts w:ascii="宋体" w:hAnsi="宋体" w:eastAsia="宋体"/>
                <w:sz w:val="24"/>
                <w:szCs w:val="24"/>
              </w:rPr>
            </w:pPr>
            <w:r>
              <w:rPr>
                <w:rFonts w:hint="eastAsia" w:ascii="宋体" w:hAnsi="宋体" w:eastAsia="宋体"/>
                <w:sz w:val="24"/>
                <w:szCs w:val="24"/>
              </w:rPr>
              <w:t xml:space="preserve">企业规模</w:t>
            </w:r>
            <w:r>
              <w:rPr>
                <w:rFonts w:ascii="宋体" w:hAnsi="宋体" w:eastAsia="宋体"/>
                <w:sz w:val="24"/>
                <w:szCs w:val="24"/>
              </w:rPr>
            </w:r>
            <w:r/>
          </w:p>
        </w:tc>
        <w:tc>
          <w:tcPr>
            <w:gridSpan w:val="3"/>
            <w:tcW w:w="7440" w:type="dxa"/>
            <w:vAlign w:val="bottom"/>
            <w:textDirection w:val="lrTb"/>
            <w:noWrap w:val="false"/>
          </w:tcPr>
          <w:p>
            <w:pPr>
              <w:pStyle w:val="723"/>
              <w:spacing w:line="360" w:lineRule="auto"/>
              <w:rPr>
                <w:rFonts w:ascii="宋体" w:hAnsi="宋体" w:eastAsia="宋体"/>
                <w:sz w:val="24"/>
                <w:szCs w:val="24"/>
              </w:rPr>
            </w:pPr>
            <w:r>
              <w:rPr>
                <w:rFonts w:ascii="Wingdings" w:hAnsi="Wingdings" w:eastAsia="Wingdings" w:cs="Wingdings"/>
                <w:sz w:val="24"/>
                <w:szCs w:val="24"/>
              </w:rPr>
              <w:t xml:space="preserve"></w:t>
            </w:r>
            <w:r>
              <w:rPr>
                <w:rFonts w:hint="eastAsia" w:ascii="宋体" w:hAnsi="宋体" w:eastAsia="宋体"/>
                <w:sz w:val="24"/>
                <w:szCs w:val="24"/>
              </w:rPr>
              <w:t xml:space="preserve">中型      </w:t>
            </w:r>
            <w:r>
              <w:rPr>
                <w:rFonts w:ascii="Wingdings" w:hAnsi="Wingdings" w:eastAsia="Wingdings" w:cs="Wingdings"/>
                <w:sz w:val="24"/>
                <w:szCs w:val="24"/>
              </w:rPr>
              <w:t xml:space="preserve"></w:t>
            </w:r>
            <w:r>
              <w:rPr>
                <w:rFonts w:hint="eastAsia" w:ascii="宋体" w:hAnsi="宋体" w:eastAsia="宋体"/>
                <w:sz w:val="24"/>
                <w:szCs w:val="24"/>
              </w:rPr>
              <w:t xml:space="preserve">小型      </w:t>
            </w:r>
            <w:r>
              <w:rPr>
                <w:rFonts w:ascii="Wingdings" w:hAnsi="Wingdings" w:eastAsia="Wingdings" w:cs="Wingdings"/>
                <w:sz w:val="24"/>
                <w:szCs w:val="24"/>
              </w:rPr>
              <w:t xml:space="preserve"></w:t>
            </w:r>
            <w:r>
              <w:rPr>
                <w:rFonts w:hint="eastAsia" w:ascii="宋体" w:hAnsi="宋体" w:eastAsia="宋体"/>
                <w:sz w:val="24"/>
                <w:szCs w:val="24"/>
              </w:rPr>
              <w:t xml:space="preserve">微型     </w:t>
            </w:r>
            <w:r>
              <w:rPr>
                <w:rFonts w:ascii="Wingdings" w:hAnsi="Wingdings" w:eastAsia="Wingdings" w:cs="Wingdings"/>
                <w:sz w:val="24"/>
                <w:szCs w:val="24"/>
              </w:rPr>
              <w:t xml:space="preserve"></w:t>
            </w:r>
            <w:r>
              <w:rPr>
                <w:rFonts w:hint="eastAsia" w:ascii="宋体" w:hAnsi="宋体" w:eastAsia="宋体"/>
                <w:sz w:val="24"/>
                <w:szCs w:val="24"/>
              </w:rPr>
              <w:t xml:space="preserve">残疾人企业    </w:t>
            </w:r>
            <w:r>
              <w:rPr>
                <w:rFonts w:ascii="Wingdings" w:hAnsi="Wingdings" w:eastAsia="Wingdings" w:cs="Wingdings"/>
                <w:sz w:val="24"/>
                <w:szCs w:val="24"/>
              </w:rPr>
              <w:t xml:space="preserve"></w:t>
            </w:r>
            <w:r>
              <w:rPr>
                <w:rFonts w:hint="eastAsia" w:ascii="宋体" w:hAnsi="宋体" w:eastAsia="宋体"/>
                <w:sz w:val="24"/>
                <w:szCs w:val="24"/>
              </w:rPr>
              <w:t xml:space="preserve">监狱企业      </w:t>
            </w:r>
            <w:r>
              <w:rPr>
                <w:rFonts w:ascii="宋体" w:hAnsi="宋体" w:eastAsia="宋体"/>
                <w:sz w:val="24"/>
                <w:szCs w:val="24"/>
              </w:rPr>
            </w:r>
            <w:r/>
          </w:p>
        </w:tc>
      </w:tr>
    </w:tbl>
    <w:p>
      <w:pPr>
        <w:pStyle w:val="1019"/>
        <w:jc w:val="center"/>
        <w:spacing w:line="360" w:lineRule="auto"/>
        <w:rPr>
          <w:rFonts w:hAnsi="宋体" w:eastAsia="宋体"/>
          <w:color w:val="000000"/>
          <w:sz w:val="24"/>
          <w:szCs w:val="24"/>
        </w:rPr>
      </w:pPr>
      <w:r>
        <w:rPr>
          <w:rFonts w:hAnsi="宋体" w:eastAsia="宋体"/>
          <w:color w:val="000000"/>
          <w:sz w:val="24"/>
          <w:szCs w:val="24"/>
        </w:rPr>
      </w:r>
      <w:r/>
    </w:p>
    <w:p>
      <w:pPr>
        <w:pStyle w:val="723"/>
        <w:spacing w:line="360" w:lineRule="auto"/>
        <w:rPr>
          <w:rFonts w:ascii="宋体" w:hAnsi="宋体" w:eastAsia="宋体" w:cs="宋体"/>
          <w:sz w:val="24"/>
          <w:szCs w:val="24"/>
        </w:rPr>
      </w:pPr>
      <w:r>
        <w:rPr>
          <w:rFonts w:hint="eastAsia" w:ascii="宋体" w:hAnsi="宋体" w:eastAsia="宋体" w:cs="宋体"/>
          <w:sz w:val="24"/>
          <w:szCs w:val="24"/>
        </w:rPr>
        <w:t xml:space="preserve">投标单位：（单位盖章）</w:t>
      </w:r>
      <w:r>
        <w:rPr>
          <w:rFonts w:ascii="宋体" w:hAnsi="宋体" w:eastAsia="宋体" w:cs="宋体"/>
          <w:sz w:val="24"/>
          <w:szCs w:val="24"/>
        </w:rPr>
      </w:r>
      <w:r/>
    </w:p>
    <w:p>
      <w:pPr>
        <w:pStyle w:val="723"/>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ascii="宋体" w:hAnsi="宋体" w:eastAsia="宋体" w:cs="宋体"/>
          <w:sz w:val="24"/>
          <w:szCs w:val="24"/>
        </w:rPr>
      </w:r>
      <w:r/>
    </w:p>
    <w:p>
      <w:pPr>
        <w:pStyle w:val="723"/>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723"/>
        <w:jc w:val="left"/>
        <w:widowControl/>
        <w:rPr>
          <w:rFonts w:ascii="宋体" w:hAnsi="宋体" w:eastAsia="宋体" w:cs="宋体"/>
          <w:sz w:val="24"/>
          <w:szCs w:val="24"/>
        </w:rPr>
      </w:pPr>
      <w:r>
        <w:rPr>
          <w:rFonts w:ascii="宋体" w:hAnsi="宋体" w:eastAsia="宋体" w:cs="宋体"/>
          <w:sz w:val="24"/>
          <w:szCs w:val="24"/>
        </w:rPr>
      </w:r>
      <w:r/>
    </w:p>
    <w:p>
      <w:pPr>
        <w:pStyle w:val="723"/>
        <w:jc w:val="left"/>
        <w:widowControl/>
        <w:rPr>
          <w:rFonts w:ascii="宋体" w:hAnsi="宋体" w:eastAsia="宋体" w:cs="宋体"/>
          <w:sz w:val="24"/>
          <w:szCs w:val="24"/>
        </w:rPr>
      </w:pPr>
      <w:r>
        <w:rPr>
          <w:rFonts w:ascii="宋体" w:hAnsi="宋体" w:eastAsia="宋体" w:cs="宋体"/>
          <w:sz w:val="24"/>
          <w:szCs w:val="24"/>
        </w:rPr>
      </w:r>
      <w:r/>
    </w:p>
    <w:p>
      <w:pPr>
        <w:pStyle w:val="723"/>
        <w:ind w:firstLine="482"/>
        <w:spacing w:line="360" w:lineRule="auto"/>
        <w:rPr>
          <w:rFonts w:hint="eastAsia" w:ascii="宋体" w:hAnsi="宋体" w:eastAsia="宋体" w:cs="宋体"/>
          <w:b/>
          <w:bCs/>
          <w:sz w:val="24"/>
          <w:lang w:val="zh-CN"/>
        </w:rPr>
      </w:pPr>
      <w:r>
        <w:rPr>
          <w:rFonts w:hint="eastAsia" w:ascii="宋体" w:hAnsi="宋体" w:eastAsia="宋体" w:cs="宋体"/>
          <w:b/>
          <w:bCs/>
          <w:sz w:val="24"/>
          <w:lang w:val="zh-CN"/>
        </w:rPr>
        <w:t xml:space="preserve">1.本表中的报价为综合报价，应包括配送服务、设备、材料、人工、食宿、差旅、加班、税费、技术支持与培训及相关劳务支出、招标代理服务费等履行本合同所发生的全部费用以及中标单位的企业利润、税金和政策性文件规定及合同包含的所有风险、责任等各项应有费用。</w:t>
      </w:r>
      <w:r/>
    </w:p>
    <w:p>
      <w:pPr>
        <w:pStyle w:val="723"/>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2.单价小数点后保留二位，第三位四舍五入。</w:t>
      </w:r>
      <w:r/>
    </w:p>
    <w:p>
      <w:pPr>
        <w:pStyle w:val="723"/>
        <w:ind w:firstLine="482"/>
        <w:spacing w:line="360" w:lineRule="auto"/>
        <w:rPr>
          <w:rFonts w:hint="eastAsia" w:ascii="宋体" w:hAnsi="宋体" w:eastAsia="宋体" w:cs="宋体"/>
          <w:b/>
          <w:bCs/>
          <w:sz w:val="24"/>
          <w:lang w:val="zh-CN"/>
        </w:rPr>
      </w:pPr>
      <w:r>
        <w:rPr>
          <w:rFonts w:hint="eastAsia" w:ascii="宋体" w:hAnsi="宋体" w:eastAsia="宋体" w:cs="宋体"/>
          <w:b/>
          <w:bCs/>
          <w:sz w:val="24"/>
        </w:rPr>
        <w:t xml:space="preserve">3.</w:t>
      </w:r>
      <w:r>
        <w:rPr>
          <w:rFonts w:hint="eastAsia" w:ascii="宋体" w:hAnsi="宋体" w:eastAsia="宋体" w:cs="宋体"/>
          <w:b/>
          <w:bCs/>
          <w:sz w:val="24"/>
          <w:lang w:val="zh-CN"/>
        </w:rPr>
        <w:t xml:space="preserve">各供应商按照优惠率报价，如报价打</w:t>
      </w:r>
      <w:r>
        <w:rPr>
          <w:rFonts w:hint="eastAsia" w:ascii="宋体" w:hAnsi="宋体" w:eastAsia="宋体" w:cs="宋体"/>
          <w:b/>
          <w:bCs/>
          <w:sz w:val="24"/>
        </w:rPr>
        <w:t xml:space="preserve">七</w:t>
      </w:r>
      <w:r>
        <w:rPr>
          <w:rFonts w:hint="eastAsia" w:ascii="宋体" w:hAnsi="宋体" w:eastAsia="宋体" w:cs="宋体"/>
          <w:b/>
          <w:bCs/>
          <w:sz w:val="24"/>
          <w:lang w:val="zh-CN"/>
        </w:rPr>
        <w:t xml:space="preserve">折（折扣率</w:t>
      </w:r>
      <w:r>
        <w:rPr>
          <w:rFonts w:hint="eastAsia" w:ascii="宋体" w:hAnsi="宋体" w:eastAsia="宋体" w:cs="宋体"/>
          <w:b/>
          <w:bCs/>
          <w:sz w:val="24"/>
        </w:rPr>
        <w:t xml:space="preserve">70</w:t>
      </w:r>
      <w:r>
        <w:rPr>
          <w:rFonts w:hint="eastAsia" w:ascii="宋体" w:hAnsi="宋体" w:eastAsia="宋体" w:cs="宋体"/>
          <w:b/>
          <w:bCs/>
          <w:sz w:val="24"/>
          <w:lang w:val="zh-CN"/>
        </w:rPr>
        <w:t xml:space="preserve">%），则优惠</w:t>
      </w:r>
      <w:r>
        <w:rPr>
          <w:rFonts w:hint="eastAsia" w:ascii="宋体" w:hAnsi="宋体" w:eastAsia="宋体" w:cs="宋体"/>
          <w:b/>
          <w:bCs/>
          <w:sz w:val="24"/>
        </w:rPr>
        <w:t xml:space="preserve">3</w:t>
      </w:r>
      <w:r>
        <w:rPr>
          <w:rFonts w:hint="eastAsia" w:ascii="宋体" w:hAnsi="宋体" w:eastAsia="宋体" w:cs="宋体"/>
          <w:b/>
          <w:bCs/>
          <w:sz w:val="24"/>
          <w:lang w:val="zh-CN"/>
        </w:rPr>
        <w:t xml:space="preserve">0%,则报价表中报价填写优惠率</w:t>
      </w:r>
      <w:r>
        <w:rPr>
          <w:rFonts w:hint="eastAsia" w:ascii="宋体" w:hAnsi="宋体" w:eastAsia="宋体" w:cs="宋体"/>
          <w:b/>
          <w:bCs/>
          <w:sz w:val="24"/>
        </w:rPr>
        <w:t xml:space="preserve">3</w:t>
      </w:r>
      <w:r>
        <w:rPr>
          <w:rFonts w:hint="eastAsia" w:ascii="宋体" w:hAnsi="宋体" w:eastAsia="宋体" w:cs="宋体"/>
          <w:b/>
          <w:bCs/>
          <w:sz w:val="24"/>
          <w:lang w:val="zh-CN"/>
        </w:rPr>
        <w:t xml:space="preserve">0%；如报价打八五折（折扣率85%），则优惠15%,则报价表中报价填写优惠率15%；以此类推。</w:t>
      </w:r>
      <w:r/>
    </w:p>
    <w:p>
      <w:pPr>
        <w:pStyle w:val="723"/>
        <w:ind w:firstLine="482"/>
        <w:spacing w:line="360" w:lineRule="auto"/>
        <w:rPr>
          <w:rFonts w:hint="eastAsia" w:ascii="宋体" w:hAnsi="宋体" w:eastAsia="宋体" w:cs="宋体"/>
          <w:b/>
          <w:bCs/>
          <w:sz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bCs/>
          <w:sz w:val="24"/>
        </w:rPr>
        <w:t xml:space="preserve">4.</w:t>
      </w:r>
      <w:r>
        <w:rPr>
          <w:rFonts w:hint="eastAsia" w:ascii="宋体" w:hAnsi="宋体" w:eastAsia="宋体" w:cs="宋体"/>
          <w:b/>
          <w:bCs/>
          <w:sz w:val="24"/>
          <w:lang w:val="zh-CN"/>
        </w:rPr>
        <w:t xml:space="preserve">系统内开标一览表优惠率报价须与上表中优惠率保持一致。</w:t>
      </w:r>
      <w:r>
        <w:rPr>
          <w:rFonts w:hint="eastAsia" w:ascii="宋体" w:hAnsi="宋体" w:eastAsia="宋体" w:cs="宋体"/>
          <w:b/>
          <w:bCs/>
          <w:sz w:val="24"/>
        </w:rPr>
      </w:r>
      <w:r/>
    </w:p>
    <w:p>
      <w:pPr>
        <w:pStyle w:val="723"/>
        <w:jc w:val="left"/>
        <w:widowControl/>
        <w:rPr>
          <w:rFonts w:hAnsi="宋体" w:eastAsia="宋体"/>
          <w:b/>
          <w:color w:val="000000"/>
          <w:sz w:val="21"/>
        </w:rPr>
      </w:pPr>
      <w:r>
        <w:rPr>
          <w:rFonts w:hint="eastAsia" w:eastAsia="宋体"/>
          <w:b/>
          <w:bCs/>
          <w:sz w:val="24"/>
          <w:szCs w:val="24"/>
        </w:rPr>
        <w:t xml:space="preserve">4、服务要求偏离表</w:t>
      </w:r>
      <w:r>
        <w:rPr>
          <w:rFonts w:hAnsi="宋体" w:eastAsia="宋体"/>
          <w:b/>
          <w:color w:val="000000"/>
          <w:sz w:val="21"/>
        </w:rPr>
      </w:r>
      <w:r/>
    </w:p>
    <w:p>
      <w:pPr>
        <w:pStyle w:val="723"/>
        <w:jc w:val="center"/>
        <w:spacing w:line="360" w:lineRule="auto"/>
        <w:rPr>
          <w:rFonts w:ascii="宋体" w:hAnsi="宋体" w:eastAsia="宋体"/>
          <w:sz w:val="24"/>
          <w:szCs w:val="24"/>
        </w:rPr>
      </w:pPr>
      <w:r>
        <w:rPr>
          <w:rFonts w:ascii="宋体" w:hAnsi="宋体" w:eastAsia="宋体"/>
          <w:sz w:val="24"/>
          <w:szCs w:val="24"/>
        </w:rPr>
      </w:r>
      <w:r/>
    </w:p>
    <w:p>
      <w:pPr>
        <w:pStyle w:val="723"/>
        <w:jc w:val="center"/>
        <w:spacing w:line="360" w:lineRule="auto"/>
        <w:rPr>
          <w:rFonts w:ascii="宋体" w:hAnsi="宋体" w:eastAsia="宋体"/>
          <w:sz w:val="24"/>
          <w:szCs w:val="24"/>
        </w:rPr>
      </w:pPr>
      <w:r>
        <w:rPr>
          <w:rFonts w:hint="eastAsia" w:ascii="宋体" w:hAnsi="宋体" w:eastAsia="宋体"/>
          <w:b/>
          <w:sz w:val="24"/>
          <w:szCs w:val="24"/>
        </w:rPr>
        <w:t xml:space="preserve">服务要求偏离表</w:t>
      </w:r>
      <w:r>
        <w:rPr>
          <w:rFonts w:ascii="宋体" w:hAnsi="宋体" w:eastAsia="宋体"/>
          <w:sz w:val="24"/>
          <w:szCs w:val="24"/>
        </w:rPr>
      </w:r>
      <w:r/>
    </w:p>
    <w:tbl>
      <w:tblPr>
        <w:tblW w:w="97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069"/>
        <w:gridCol w:w="2958"/>
        <w:gridCol w:w="2977"/>
        <w:gridCol w:w="992"/>
      </w:tblGrid>
      <w:tr>
        <w:trPr/>
        <w:tc>
          <w:tcPr>
            <w:tcW w:w="779" w:type="dxa"/>
            <w:vAlign w:val="top"/>
            <w:textDirection w:val="lrTb"/>
            <w:noWrap w:val="false"/>
          </w:tcPr>
          <w:p>
            <w:pPr>
              <w:pStyle w:val="723"/>
              <w:jc w:val="center"/>
              <w:spacing w:before="240" w:after="240"/>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2069" w:type="dxa"/>
            <w:vAlign w:val="top"/>
            <w:textDirection w:val="lrTb"/>
            <w:noWrap w:val="false"/>
          </w:tcPr>
          <w:p>
            <w:pPr>
              <w:pStyle w:val="723"/>
              <w:jc w:val="center"/>
              <w:spacing w:before="240" w:after="240"/>
              <w:rPr>
                <w:rFonts w:ascii="宋体" w:hAnsi="宋体" w:eastAsia="宋体" w:cs="宋体"/>
                <w:sz w:val="24"/>
                <w:szCs w:val="24"/>
              </w:rPr>
            </w:pPr>
            <w:r>
              <w:rPr>
                <w:rFonts w:hint="eastAsia" w:ascii="宋体" w:hAnsi="宋体" w:eastAsia="宋体" w:cs="宋体"/>
                <w:sz w:val="24"/>
                <w:szCs w:val="24"/>
              </w:rPr>
              <w:t xml:space="preserve">招标文件条目号</w:t>
            </w:r>
            <w:r>
              <w:rPr>
                <w:rFonts w:ascii="宋体" w:hAnsi="宋体" w:eastAsia="宋体" w:cs="宋体"/>
                <w:sz w:val="24"/>
                <w:szCs w:val="24"/>
              </w:rPr>
            </w:r>
            <w:r/>
          </w:p>
        </w:tc>
        <w:tc>
          <w:tcPr>
            <w:tcW w:w="2958" w:type="dxa"/>
            <w:vAlign w:val="top"/>
            <w:textDirection w:val="lrTb"/>
            <w:noWrap w:val="false"/>
          </w:tcPr>
          <w:p>
            <w:pPr>
              <w:pStyle w:val="723"/>
              <w:jc w:val="center"/>
              <w:spacing w:before="240" w:after="240"/>
              <w:rPr>
                <w:rFonts w:ascii="宋体" w:hAnsi="宋体" w:eastAsia="宋体" w:cs="宋体"/>
                <w:sz w:val="24"/>
                <w:szCs w:val="24"/>
              </w:rPr>
            </w:pPr>
            <w:r>
              <w:rPr>
                <w:rFonts w:hint="eastAsia" w:ascii="宋体" w:hAnsi="宋体" w:eastAsia="宋体" w:cs="宋体"/>
                <w:sz w:val="24"/>
                <w:szCs w:val="24"/>
              </w:rPr>
              <w:t xml:space="preserve">招标文件的服务要求条款</w:t>
            </w:r>
            <w:r>
              <w:rPr>
                <w:rFonts w:ascii="宋体" w:hAnsi="宋体" w:eastAsia="宋体" w:cs="宋体"/>
                <w:sz w:val="24"/>
                <w:szCs w:val="24"/>
              </w:rPr>
            </w:r>
            <w:r/>
          </w:p>
        </w:tc>
        <w:tc>
          <w:tcPr>
            <w:tcW w:w="2977" w:type="dxa"/>
            <w:vAlign w:val="top"/>
            <w:textDirection w:val="lrTb"/>
            <w:noWrap w:val="false"/>
          </w:tcPr>
          <w:p>
            <w:pPr>
              <w:pStyle w:val="723"/>
              <w:jc w:val="center"/>
              <w:spacing w:before="240" w:after="240"/>
              <w:rPr>
                <w:rFonts w:ascii="宋体" w:hAnsi="宋体" w:eastAsia="宋体" w:cs="宋体"/>
                <w:sz w:val="24"/>
                <w:szCs w:val="24"/>
              </w:rPr>
            </w:pPr>
            <w:r>
              <w:rPr>
                <w:rFonts w:hint="eastAsia" w:ascii="宋体" w:hAnsi="宋体" w:eastAsia="宋体" w:cs="宋体"/>
                <w:sz w:val="24"/>
                <w:szCs w:val="24"/>
              </w:rPr>
              <w:t xml:space="preserve">投标文件的服务要求条款</w:t>
            </w:r>
            <w:r>
              <w:rPr>
                <w:rFonts w:ascii="宋体" w:hAnsi="宋体" w:eastAsia="宋体" w:cs="宋体"/>
                <w:sz w:val="24"/>
                <w:szCs w:val="24"/>
              </w:rPr>
            </w:r>
            <w:r/>
          </w:p>
        </w:tc>
        <w:tc>
          <w:tcPr>
            <w:tcW w:w="992" w:type="dxa"/>
            <w:vAlign w:val="top"/>
            <w:textDirection w:val="lrTb"/>
            <w:noWrap w:val="false"/>
          </w:tcPr>
          <w:p>
            <w:pPr>
              <w:pStyle w:val="723"/>
              <w:jc w:val="center"/>
              <w:spacing w:before="240" w:after="240"/>
              <w:rPr>
                <w:rFonts w:ascii="宋体" w:hAnsi="宋体" w:eastAsia="宋体" w:cs="宋体"/>
                <w:sz w:val="24"/>
                <w:szCs w:val="24"/>
              </w:rPr>
            </w:pPr>
            <w:r>
              <w:rPr>
                <w:rFonts w:hint="eastAsia" w:ascii="宋体" w:hAnsi="宋体" w:eastAsia="宋体" w:cs="宋体"/>
                <w:sz w:val="24"/>
                <w:szCs w:val="24"/>
              </w:rPr>
              <w:t xml:space="preserve">说明</w:t>
            </w:r>
            <w:r>
              <w:rPr>
                <w:rFonts w:ascii="宋体" w:hAnsi="宋体" w:eastAsia="宋体" w:cs="宋体"/>
                <w:sz w:val="24"/>
                <w:szCs w:val="24"/>
              </w:rPr>
            </w:r>
            <w:r/>
          </w:p>
        </w:tc>
      </w:tr>
      <w:tr>
        <w:trPr/>
        <w:tc>
          <w:tcPr>
            <w:tcW w:w="77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06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58"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77"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992"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r>
      <w:tr>
        <w:trPr/>
        <w:tc>
          <w:tcPr>
            <w:tcW w:w="77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06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58"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77"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992"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r>
      <w:tr>
        <w:trPr/>
        <w:tc>
          <w:tcPr>
            <w:tcW w:w="77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06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58"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77"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992"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r>
      <w:tr>
        <w:trPr/>
        <w:tc>
          <w:tcPr>
            <w:tcW w:w="77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06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58"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77"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992"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r>
      <w:tr>
        <w:trPr/>
        <w:tc>
          <w:tcPr>
            <w:tcW w:w="77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06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58"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77"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992"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r>
      <w:tr>
        <w:trPr/>
        <w:tc>
          <w:tcPr>
            <w:tcW w:w="77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06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58"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77"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992"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r>
      <w:tr>
        <w:trPr/>
        <w:tc>
          <w:tcPr>
            <w:tcW w:w="77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06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58"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77"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992"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r>
      <w:tr>
        <w:trPr/>
        <w:tc>
          <w:tcPr>
            <w:tcW w:w="77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069"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58"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2977"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c>
          <w:tcPr>
            <w:tcW w:w="992" w:type="dxa"/>
            <w:vAlign w:val="top"/>
            <w:textDirection w:val="lrTb"/>
            <w:noWrap w:val="false"/>
          </w:tcPr>
          <w:p>
            <w:pPr>
              <w:pStyle w:val="723"/>
              <w:spacing w:before="240" w:after="240"/>
              <w:rPr>
                <w:rFonts w:ascii="宋体" w:hAnsi="宋体" w:eastAsia="宋体" w:cs="宋体"/>
                <w:sz w:val="24"/>
                <w:szCs w:val="24"/>
              </w:rPr>
            </w:pPr>
            <w:r>
              <w:rPr>
                <w:rFonts w:ascii="宋体" w:hAnsi="宋体" w:eastAsia="宋体" w:cs="宋体"/>
                <w:sz w:val="24"/>
                <w:szCs w:val="24"/>
              </w:rPr>
            </w:r>
            <w:r/>
          </w:p>
        </w:tc>
      </w:tr>
    </w:tbl>
    <w:p>
      <w:pPr>
        <w:pStyle w:val="723"/>
        <w:rPr>
          <w:rFonts w:ascii="宋体" w:hAnsi="宋体" w:eastAsia="宋体" w:cs="宋体"/>
          <w:sz w:val="24"/>
          <w:szCs w:val="24"/>
        </w:rPr>
      </w:pPr>
      <w:r>
        <w:rPr>
          <w:rFonts w:hint="eastAsia" w:ascii="宋体" w:hAnsi="宋体" w:eastAsia="宋体" w:cs="宋体"/>
          <w:sz w:val="24"/>
          <w:szCs w:val="24"/>
        </w:rPr>
        <w:t xml:space="preserve">注：1、投标单位应对照招标文件服务要求等要求，所投标的物与招标文件的规定有偏离的，应在此表中申明与服务要求条文的偏差和例外。</w:t>
      </w:r>
      <w:r>
        <w:rPr>
          <w:rFonts w:ascii="宋体" w:hAnsi="宋体" w:eastAsia="宋体" w:cs="宋体"/>
          <w:sz w:val="24"/>
          <w:szCs w:val="24"/>
        </w:rPr>
      </w:r>
      <w:r/>
    </w:p>
    <w:p>
      <w:pPr>
        <w:pStyle w:val="723"/>
        <w:ind w:firstLine="360"/>
        <w:rPr>
          <w:rFonts w:ascii="宋体" w:hAnsi="宋体" w:eastAsia="宋体" w:cs="宋体"/>
          <w:sz w:val="24"/>
          <w:szCs w:val="24"/>
        </w:rPr>
      </w:pPr>
      <w:r>
        <w:rPr>
          <w:rFonts w:hint="eastAsia" w:ascii="宋体" w:hAnsi="宋体" w:eastAsia="宋体" w:cs="宋体"/>
          <w:sz w:val="24"/>
          <w:szCs w:val="24"/>
        </w:rPr>
        <w:t xml:space="preserve">2、未在上表中说明的，如在响应文件其他内容中已有文字说明的，则以已有文字说明为准，否则，将被认为完全响应招标文件的规定。但该表不作为投标单位对所投标的物关于技术要求等详细描述和说明的替代。</w:t>
      </w:r>
      <w:r>
        <w:rPr>
          <w:rFonts w:ascii="宋体" w:hAnsi="宋体" w:eastAsia="宋体" w:cs="宋体"/>
          <w:sz w:val="24"/>
          <w:szCs w:val="24"/>
        </w:rPr>
      </w:r>
      <w:r/>
    </w:p>
    <w:p>
      <w:pPr>
        <w:pStyle w:val="723"/>
        <w:ind w:firstLine="480"/>
        <w:spacing w:line="360" w:lineRule="auto"/>
        <w:rPr>
          <w:rFonts w:ascii="宋体" w:hAnsi="宋体" w:eastAsia="宋体"/>
          <w:sz w:val="24"/>
          <w:szCs w:val="24"/>
        </w:rPr>
      </w:pPr>
      <w:r>
        <w:rPr>
          <w:rFonts w:ascii="宋体" w:hAnsi="宋体" w:eastAsia="宋体"/>
          <w:sz w:val="24"/>
          <w:szCs w:val="24"/>
        </w:rPr>
      </w:r>
      <w:r/>
    </w:p>
    <w:p>
      <w:pPr>
        <w:pStyle w:val="1019"/>
        <w:rPr>
          <w:rFonts w:hAnsi="宋体" w:eastAsia="宋体"/>
          <w:sz w:val="24"/>
        </w:rPr>
      </w:pPr>
      <w:r>
        <w:rPr>
          <w:rFonts w:hint="eastAsia" w:hAnsi="宋体" w:eastAsia="宋体"/>
          <w:sz w:val="24"/>
        </w:rPr>
        <w:t xml:space="preserve">投标单位：（单位盖章）</w:t>
      </w:r>
      <w:r>
        <w:rPr>
          <w:rFonts w:hAnsi="宋体" w:eastAsia="宋体"/>
          <w:sz w:val="24"/>
        </w:rPr>
      </w:r>
      <w:r/>
    </w:p>
    <w:p>
      <w:pPr>
        <w:pStyle w:val="1019"/>
        <w:rPr>
          <w:rFonts w:hAnsi="宋体" w:eastAsia="宋体"/>
          <w:sz w:val="24"/>
        </w:rPr>
      </w:pPr>
      <w:r>
        <w:rPr>
          <w:rFonts w:hint="eastAsia" w:hAnsi="宋体" w:eastAsia="宋体"/>
          <w:sz w:val="24"/>
        </w:rPr>
        <w:t xml:space="preserve">法定代表人或代理人：（签字或盖章）</w:t>
      </w:r>
      <w:r>
        <w:rPr>
          <w:rFonts w:hAnsi="宋体" w:eastAsia="宋体"/>
          <w:sz w:val="24"/>
        </w:rPr>
      </w:r>
      <w:r/>
    </w:p>
    <w:p>
      <w:pPr>
        <w:pStyle w:val="1019"/>
        <w:rPr>
          <w:rFonts w:hAnsi="宋体" w:eastAsia="宋体"/>
          <w:sz w:val="24"/>
        </w:rPr>
      </w:pPr>
      <w:r>
        <w:rPr>
          <w:rFonts w:hint="eastAsia" w:hAnsi="宋体" w:eastAsia="宋体"/>
          <w:sz w:val="24"/>
        </w:rPr>
        <w:t xml:space="preserve">日期：        年   月   日</w:t>
      </w:r>
      <w:r>
        <w:rPr>
          <w:rFonts w:hAnsi="宋体" w:eastAsia="宋体"/>
          <w:sz w:val="24"/>
        </w:rPr>
      </w:r>
      <w:r/>
    </w:p>
    <w:p>
      <w:pPr>
        <w:pStyle w:val="723"/>
        <w:jc w:val="left"/>
        <w:widowControl/>
        <w:rPr>
          <w:rFonts w:ascii="宋体" w:hAnsi="宋体" w:cs="宋体"/>
          <w:b/>
          <w:bCs/>
          <w:sz w:val="21"/>
          <w:szCs w:val="21"/>
        </w:rPr>
      </w:pPr>
      <w:r>
        <w:rPr>
          <w:rFonts w:ascii="宋体" w:hAnsi="宋体" w:cs="宋体"/>
          <w:b/>
          <w:bCs/>
          <w:sz w:val="21"/>
          <w:szCs w:val="21"/>
        </w:rPr>
        <w:br w:type="page" w:clear="all"/>
      </w:r>
      <w:r>
        <w:rPr>
          <w:rFonts w:hint="eastAsia" w:ascii="宋体" w:hAnsi="宋体" w:cs="宋体"/>
          <w:b/>
          <w:bCs/>
          <w:sz w:val="21"/>
          <w:szCs w:val="21"/>
        </w:rPr>
        <w:t xml:space="preserve">5</w:t>
      </w:r>
      <w:r>
        <w:rPr>
          <w:rFonts w:hint="eastAsia" w:ascii="宋体" w:hAnsi="宋体" w:eastAsia="宋体"/>
          <w:b/>
          <w:sz w:val="24"/>
          <w:szCs w:val="24"/>
        </w:rPr>
        <w:t xml:space="preserve">、商务条款偏离表</w:t>
      </w:r>
      <w:r>
        <w:rPr>
          <w:rFonts w:ascii="宋体" w:hAnsi="宋体" w:cs="宋体"/>
          <w:b/>
          <w:bCs/>
          <w:sz w:val="21"/>
          <w:szCs w:val="21"/>
        </w:rPr>
      </w:r>
      <w:r/>
    </w:p>
    <w:p>
      <w:pPr>
        <w:pStyle w:val="723"/>
        <w:jc w:val="center"/>
        <w:spacing w:line="360" w:lineRule="auto"/>
        <w:rPr>
          <w:rFonts w:ascii="宋体" w:hAnsi="宋体" w:eastAsia="宋体"/>
          <w:b/>
          <w:sz w:val="24"/>
          <w:szCs w:val="24"/>
        </w:rPr>
      </w:pPr>
      <w:r>
        <w:rPr>
          <w:rFonts w:hint="eastAsia" w:ascii="宋体" w:hAnsi="宋体" w:eastAsia="宋体"/>
          <w:b/>
          <w:sz w:val="24"/>
          <w:szCs w:val="24"/>
        </w:rPr>
        <w:t xml:space="preserve">商务条款偏离表</w:t>
      </w:r>
      <w:r>
        <w:rPr>
          <w:rFonts w:ascii="宋体" w:hAnsi="宋体" w:eastAsia="宋体"/>
          <w:b/>
          <w:sz w:val="24"/>
          <w:szCs w:val="24"/>
        </w:rPr>
      </w:r>
      <w:r/>
    </w:p>
    <w:tbl>
      <w:tblPr>
        <w:tblW w:w="8525"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val="false"/>
          </w:tcPr>
          <w:p>
            <w:pPr>
              <w:pStyle w:val="723"/>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920" w:type="dxa"/>
            <w:vAlign w:val="top"/>
            <w:textDirection w:val="lrTb"/>
            <w:noWrap w:val="false"/>
          </w:tcPr>
          <w:p>
            <w:pPr>
              <w:pStyle w:val="723"/>
              <w:jc w:val="center"/>
              <w:spacing w:before="240" w:after="240" w:line="360" w:lineRule="auto"/>
              <w:rPr>
                <w:rFonts w:ascii="宋体" w:hAnsi="宋体" w:eastAsia="宋体"/>
                <w:sz w:val="24"/>
                <w:szCs w:val="24"/>
              </w:rPr>
            </w:pPr>
            <w:r>
              <w:rPr>
                <w:rFonts w:hint="eastAsia" w:ascii="宋体" w:hAnsi="宋体" w:eastAsia="宋体"/>
                <w:sz w:val="24"/>
                <w:szCs w:val="24"/>
              </w:rPr>
              <w:t xml:space="preserve">招标文件条目号</w:t>
            </w:r>
            <w:r>
              <w:rPr>
                <w:rFonts w:ascii="宋体" w:hAnsi="宋体" w:eastAsia="宋体"/>
                <w:sz w:val="24"/>
                <w:szCs w:val="24"/>
              </w:rPr>
            </w:r>
            <w:r/>
          </w:p>
        </w:tc>
        <w:tc>
          <w:tcPr>
            <w:tcW w:w="2400" w:type="dxa"/>
            <w:vAlign w:val="top"/>
            <w:textDirection w:val="lrTb"/>
            <w:noWrap w:val="false"/>
          </w:tcPr>
          <w:p>
            <w:pPr>
              <w:pStyle w:val="723"/>
              <w:jc w:val="center"/>
              <w:spacing w:before="240" w:after="240" w:line="360" w:lineRule="auto"/>
              <w:rPr>
                <w:rFonts w:ascii="宋体" w:hAnsi="宋体" w:eastAsia="宋体"/>
                <w:sz w:val="24"/>
                <w:szCs w:val="24"/>
              </w:rPr>
            </w:pPr>
            <w:r>
              <w:rPr>
                <w:rFonts w:hint="eastAsia" w:ascii="宋体" w:hAnsi="宋体" w:eastAsia="宋体"/>
                <w:sz w:val="24"/>
                <w:szCs w:val="24"/>
              </w:rPr>
              <w:t xml:space="preserve">招标文件的商务条款</w:t>
            </w:r>
            <w:r>
              <w:rPr>
                <w:rFonts w:ascii="宋体" w:hAnsi="宋体" w:eastAsia="宋体"/>
                <w:sz w:val="24"/>
                <w:szCs w:val="24"/>
              </w:rPr>
            </w:r>
            <w:r/>
          </w:p>
        </w:tc>
        <w:tc>
          <w:tcPr>
            <w:tcW w:w="2400" w:type="dxa"/>
            <w:vAlign w:val="top"/>
            <w:textDirection w:val="lrTb"/>
            <w:noWrap w:val="false"/>
          </w:tcPr>
          <w:p>
            <w:pPr>
              <w:pStyle w:val="723"/>
              <w:jc w:val="center"/>
              <w:spacing w:before="240" w:after="240" w:line="360" w:lineRule="auto"/>
              <w:rPr>
                <w:rFonts w:ascii="宋体" w:hAnsi="宋体" w:eastAsia="宋体"/>
                <w:sz w:val="24"/>
                <w:szCs w:val="24"/>
              </w:rPr>
            </w:pPr>
            <w:r>
              <w:rPr>
                <w:rFonts w:hint="eastAsia" w:ascii="宋体" w:hAnsi="宋体" w:eastAsia="宋体"/>
                <w:sz w:val="24"/>
                <w:szCs w:val="24"/>
              </w:rPr>
              <w:t xml:space="preserve">投标文件的商务条款</w:t>
            </w:r>
            <w:r>
              <w:rPr>
                <w:rFonts w:ascii="宋体" w:hAnsi="宋体" w:eastAsia="宋体"/>
                <w:sz w:val="24"/>
                <w:szCs w:val="24"/>
              </w:rPr>
            </w:r>
            <w:r/>
          </w:p>
        </w:tc>
        <w:tc>
          <w:tcPr>
            <w:tcW w:w="1097" w:type="dxa"/>
            <w:vAlign w:val="top"/>
            <w:textDirection w:val="lrTb"/>
            <w:noWrap w:val="false"/>
          </w:tcPr>
          <w:p>
            <w:pPr>
              <w:pStyle w:val="723"/>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708"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92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097"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r>
      <w:tr>
        <w:trPr/>
        <w:tc>
          <w:tcPr>
            <w:tcW w:w="708"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92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097"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r>
      <w:tr>
        <w:trPr/>
        <w:tc>
          <w:tcPr>
            <w:tcW w:w="708"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92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097"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r>
      <w:tr>
        <w:trPr/>
        <w:tc>
          <w:tcPr>
            <w:tcW w:w="708"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92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097"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r>
      <w:tr>
        <w:trPr/>
        <w:tc>
          <w:tcPr>
            <w:tcW w:w="708"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92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097"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r>
      <w:tr>
        <w:trPr/>
        <w:tc>
          <w:tcPr>
            <w:tcW w:w="708"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92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097"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r>
      <w:tr>
        <w:trPr/>
        <w:tc>
          <w:tcPr>
            <w:tcW w:w="708"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92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097"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r>
      <w:tr>
        <w:trPr/>
        <w:tc>
          <w:tcPr>
            <w:tcW w:w="708"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92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097"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r>
      <w:tr>
        <w:trPr/>
        <w:tc>
          <w:tcPr>
            <w:tcW w:w="708"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92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2400"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c>
          <w:tcPr>
            <w:tcW w:w="1097" w:type="dxa"/>
            <w:vAlign w:val="top"/>
            <w:textDirection w:val="lrTb"/>
            <w:noWrap w:val="false"/>
          </w:tcPr>
          <w:p>
            <w:pPr>
              <w:pStyle w:val="723"/>
              <w:spacing w:before="240" w:after="240" w:line="360" w:lineRule="auto"/>
              <w:rPr>
                <w:rFonts w:ascii="宋体" w:hAnsi="宋体" w:eastAsia="宋体"/>
                <w:sz w:val="24"/>
                <w:szCs w:val="24"/>
              </w:rPr>
            </w:pPr>
            <w:r>
              <w:rPr>
                <w:rFonts w:ascii="宋体" w:hAnsi="宋体" w:eastAsia="宋体"/>
                <w:sz w:val="24"/>
                <w:szCs w:val="24"/>
              </w:rPr>
            </w:r>
            <w:r/>
          </w:p>
        </w:tc>
      </w:tr>
    </w:tbl>
    <w:p>
      <w:pPr>
        <w:pStyle w:val="723"/>
        <w:spacing w:line="360" w:lineRule="auto"/>
        <w:rPr>
          <w:rFonts w:ascii="宋体" w:hAnsi="宋体" w:eastAsia="宋体"/>
          <w:bCs/>
          <w:sz w:val="24"/>
          <w:szCs w:val="24"/>
        </w:rPr>
      </w:pPr>
      <w:r>
        <w:rPr>
          <w:rFonts w:ascii="宋体" w:hAnsi="宋体" w:eastAsia="宋体"/>
          <w:bCs/>
          <w:sz w:val="24"/>
          <w:szCs w:val="24"/>
        </w:rPr>
      </w:r>
      <w:r/>
    </w:p>
    <w:p>
      <w:pPr>
        <w:pStyle w:val="723"/>
        <w:spacing w:line="360" w:lineRule="auto"/>
        <w:rPr>
          <w:rFonts w:ascii="宋体" w:hAnsi="宋体" w:eastAsia="宋体"/>
          <w:sz w:val="24"/>
          <w:szCs w:val="24"/>
        </w:rPr>
      </w:pPr>
      <w:r>
        <w:rPr>
          <w:rFonts w:hint="eastAsia" w:ascii="宋体" w:hAnsi="宋体" w:eastAsia="宋体"/>
          <w:sz w:val="24"/>
          <w:szCs w:val="24"/>
        </w:rPr>
        <w:t xml:space="preserve">投标单位：（单位盖章）</w:t>
      </w:r>
      <w:r>
        <w:rPr>
          <w:rFonts w:ascii="宋体" w:hAnsi="宋体" w:eastAsia="宋体"/>
          <w:sz w:val="24"/>
          <w:szCs w:val="24"/>
        </w:rPr>
      </w:r>
      <w:r/>
    </w:p>
    <w:p>
      <w:pPr>
        <w:pStyle w:val="723"/>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723"/>
        <w:spacing w:line="360" w:lineRule="auto"/>
        <w:rPr>
          <w:rFonts w:ascii="宋体" w:hAnsi="宋体" w:eastAsia="宋体"/>
          <w:sz w:val="24"/>
          <w:szCs w:val="24"/>
        </w:rPr>
      </w:pPr>
      <w:r>
        <w:rPr>
          <w:rFonts w:hint="eastAsia" w:ascii="宋体" w:hAnsi="宋体" w:eastAsia="宋体"/>
          <w:sz w:val="24"/>
          <w:szCs w:val="24"/>
        </w:rPr>
        <w:t xml:space="preserve">日期： 年 月 日</w:t>
      </w:r>
      <w:r>
        <w:rPr>
          <w:rFonts w:ascii="宋体" w:hAnsi="宋体" w:eastAsia="宋体"/>
          <w:sz w:val="24"/>
          <w:szCs w:val="24"/>
        </w:rPr>
      </w:r>
      <w:r/>
    </w:p>
    <w:p>
      <w:pPr>
        <w:pStyle w:val="723"/>
        <w:spacing w:line="360" w:lineRule="auto"/>
        <w:rPr>
          <w:rFonts w:ascii="宋体" w:hAnsi="宋体" w:eastAsia="宋体"/>
          <w:sz w:val="24"/>
          <w:szCs w:val="24"/>
        </w:rPr>
        <w:outlineLvl w:val="1"/>
      </w:pPr>
      <w:r>
        <w:rPr>
          <w:rFonts w:ascii="宋体" w:hAnsi="宋体" w:eastAsia="宋体"/>
          <w:sz w:val="24"/>
          <w:szCs w:val="24"/>
        </w:rPr>
        <w:t xml:space="preserve"> </w:t>
      </w:r>
      <w:r/>
    </w:p>
    <w:p>
      <w:pPr>
        <w:pStyle w:val="723"/>
        <w:spacing w:line="360" w:lineRule="auto"/>
        <w:rPr>
          <w:rFonts w:ascii="宋体" w:hAnsi="宋体" w:eastAsia="宋体" w:cs="宋体"/>
          <w:sz w:val="24"/>
          <w:szCs w:val="24"/>
        </w:rPr>
        <w:outlineLvl w:val="1"/>
      </w:pPr>
      <w:r>
        <w:rPr>
          <w:rFonts w:ascii="宋体" w:hAnsi="宋体" w:eastAsia="宋体"/>
          <w:sz w:val="24"/>
          <w:szCs w:val="24"/>
        </w:rPr>
        <w:br w:type="page" w:clear="all"/>
      </w:r>
      <w:r>
        <w:rPr>
          <w:rFonts w:ascii="宋体" w:hAnsi="宋体" w:eastAsia="宋体" w:cs="宋体"/>
          <w:sz w:val="24"/>
          <w:szCs w:val="24"/>
        </w:rPr>
      </w:r>
      <w:r/>
    </w:p>
    <w:p>
      <w:pPr>
        <w:pStyle w:val="723"/>
        <w:spacing w:line="360" w:lineRule="auto"/>
        <w:rPr>
          <w:rFonts w:ascii="宋体" w:hAnsi="宋体" w:eastAsia="宋体"/>
          <w:sz w:val="24"/>
          <w:szCs w:val="24"/>
        </w:rPr>
      </w:pPr>
      <w:r>
        <w:rPr>
          <w:rFonts w:hint="eastAsia" w:ascii="宋体" w:hAnsi="宋体" w:eastAsia="宋体"/>
          <w:b/>
          <w:sz w:val="24"/>
          <w:szCs w:val="24"/>
        </w:rPr>
        <w:t xml:space="preserve">6、配备人员一览表</w:t>
      </w:r>
      <w:r>
        <w:rPr>
          <w:rFonts w:ascii="宋体" w:hAnsi="宋体" w:eastAsia="宋体"/>
          <w:sz w:val="24"/>
          <w:szCs w:val="24"/>
        </w:rPr>
      </w:r>
      <w:r/>
    </w:p>
    <w:p>
      <w:pPr>
        <w:pStyle w:val="723"/>
        <w:ind w:right="420"/>
        <w:jc w:val="center"/>
        <w:spacing w:line="360" w:lineRule="auto"/>
        <w:rPr>
          <w:rFonts w:ascii="宋体" w:hAnsi="宋体" w:eastAsia="宋体"/>
          <w:b/>
          <w:bCs/>
          <w:sz w:val="24"/>
        </w:rPr>
      </w:pPr>
      <w:r>
        <w:rPr>
          <w:rFonts w:hint="eastAsia" w:ascii="宋体" w:hAnsi="宋体" w:eastAsia="宋体"/>
          <w:b/>
          <w:bCs/>
          <w:sz w:val="24"/>
        </w:rPr>
        <w:t xml:space="preserve">配备人员一览表</w:t>
      </w:r>
      <w:r>
        <w:rPr>
          <w:rFonts w:ascii="宋体" w:hAnsi="宋体" w:eastAsia="宋体"/>
          <w:b/>
          <w:bCs/>
          <w:sz w:val="24"/>
        </w:rPr>
      </w:r>
      <w:r/>
    </w:p>
    <w:tbl>
      <w:tblPr>
        <w:tblW w:w="94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140"/>
        <w:gridCol w:w="1270"/>
        <w:gridCol w:w="1990"/>
        <w:gridCol w:w="992"/>
        <w:gridCol w:w="1266"/>
        <w:gridCol w:w="2088"/>
      </w:tblGrid>
      <w:tr>
        <w:trP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sz w:val="24"/>
                <w:szCs w:val="24"/>
              </w:rPr>
              <w:t xml:space="preserve">序号</w:t>
            </w: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sz w:val="24"/>
                <w:szCs w:val="24"/>
              </w:rPr>
              <w:t xml:space="preserve">岗位</w:t>
            </w: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sz w:val="24"/>
                <w:szCs w:val="24"/>
              </w:rPr>
              <w:t xml:space="preserve">姓名</w:t>
            </w: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sz w:val="24"/>
                <w:szCs w:val="24"/>
              </w:rPr>
              <w:t xml:space="preserve">性别</w:t>
            </w: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sz w:val="24"/>
                <w:szCs w:val="24"/>
              </w:rPr>
              <w:t xml:space="preserve">年龄</w:t>
            </w: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sz w:val="24"/>
                <w:szCs w:val="24"/>
              </w:rPr>
              <w:t xml:space="preserve">学历</w:t>
            </w: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sz w:val="24"/>
                <w:szCs w:val="24"/>
              </w:rPr>
              <w:t xml:space="preserve">职称</w:t>
            </w:r>
            <w:r>
              <w:rPr>
                <w:rFonts w:ascii="宋体" w:hAnsi="宋体" w:eastAsia="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723"/>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vAlign w:val="top"/>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vAlign w:val="top"/>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vAlign w:val="top"/>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vAlign w:val="top"/>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vAlign w:val="top"/>
            <w:textDirection w:val="lrTb"/>
            <w:noWrap w:val="false"/>
          </w:tcPr>
          <w:p>
            <w:pPr>
              <w:pStyle w:val="723"/>
              <w:jc w:val="center"/>
              <w:spacing w:line="360" w:lineRule="auto"/>
              <w:rPr>
                <w:rFonts w:ascii="宋体" w:hAnsi="宋体" w:eastAsia="宋体" w:cs="宋体"/>
                <w:sz w:val="24"/>
              </w:rPr>
            </w:pPr>
            <w:r>
              <w:rPr>
                <w:rFonts w:ascii="宋体" w:hAnsi="宋体" w:eastAsia="宋体" w:cs="宋体"/>
                <w:sz w:val="24"/>
              </w:rPr>
            </w:r>
            <w:r/>
          </w:p>
        </w:tc>
      </w:tr>
    </w:tbl>
    <w:p>
      <w:pPr>
        <w:pStyle w:val="723"/>
        <w:spacing w:line="360" w:lineRule="auto"/>
        <w:rPr>
          <w:rFonts w:ascii="宋体" w:hAnsi="宋体" w:eastAsia="宋体" w:cs="宋体"/>
          <w:sz w:val="24"/>
        </w:rPr>
      </w:pPr>
      <w:r>
        <w:rPr>
          <w:rFonts w:ascii="宋体" w:hAnsi="宋体" w:eastAsia="宋体" w:cs="宋体"/>
          <w:sz w:val="24"/>
        </w:rPr>
      </w:r>
      <w:r/>
    </w:p>
    <w:p>
      <w:pPr>
        <w:pStyle w:val="723"/>
        <w:ind w:firstLine="480"/>
        <w:spacing w:line="360" w:lineRule="auto"/>
        <w:rPr>
          <w:rFonts w:ascii="宋体" w:hAnsi="宋体" w:eastAsia="宋体" w:cs="宋体"/>
          <w:sz w:val="24"/>
        </w:rPr>
      </w:pPr>
      <w:r>
        <w:rPr>
          <w:rFonts w:hint="eastAsia" w:ascii="宋体" w:hAnsi="宋体" w:eastAsia="宋体" w:cs="宋体"/>
          <w:sz w:val="24"/>
        </w:rPr>
        <w:t xml:space="preserve">投标单位：（单位盖章）</w:t>
      </w:r>
      <w:r>
        <w:rPr>
          <w:rFonts w:ascii="宋体" w:hAnsi="宋体" w:eastAsia="宋体" w:cs="宋体"/>
          <w:sz w:val="24"/>
        </w:rPr>
      </w:r>
      <w:r/>
    </w:p>
    <w:p>
      <w:pPr>
        <w:pStyle w:val="723"/>
        <w:ind w:firstLine="520"/>
        <w:spacing w:line="360" w:lineRule="auto"/>
        <w:rPr>
          <w:rFonts w:ascii="宋体" w:hAnsi="宋体" w:eastAsia="宋体" w:cs="宋体"/>
          <w:sz w:val="24"/>
        </w:rPr>
      </w:pPr>
      <w:r>
        <w:rPr>
          <w:rFonts w:hint="eastAsia" w:ascii="宋体" w:hAnsi="宋体" w:eastAsia="宋体" w:cs="宋体"/>
          <w:sz w:val="24"/>
        </w:rPr>
        <w:t xml:space="preserve">日期：     年     月     日</w:t>
      </w:r>
      <w:r>
        <w:rPr>
          <w:rFonts w:ascii="宋体" w:hAnsi="宋体" w:eastAsia="宋体" w:cs="宋体"/>
          <w:sz w:val="24"/>
        </w:rPr>
      </w:r>
      <w:r/>
    </w:p>
    <w:p>
      <w:pPr>
        <w:pStyle w:val="723"/>
        <w:jc w:val="left"/>
        <w:widowControl/>
        <w:rPr>
          <w:rFonts w:ascii="宋体" w:hAnsi="宋体" w:eastAsia="宋体" w:cs="宋体"/>
          <w:sz w:val="24"/>
        </w:rPr>
      </w:pPr>
      <w:r>
        <w:rPr>
          <w:rFonts w:ascii="宋体" w:hAnsi="宋体" w:eastAsia="宋体" w:cs="宋体"/>
          <w:sz w:val="24"/>
        </w:rPr>
        <w:br w:type="page" w:clear="all"/>
      </w:r>
      <w:r>
        <w:rPr>
          <w:rFonts w:ascii="宋体" w:hAnsi="宋体" w:eastAsia="宋体" w:cs="宋体"/>
          <w:sz w:val="24"/>
        </w:rPr>
      </w:r>
      <w:r/>
    </w:p>
    <w:p>
      <w:pPr>
        <w:pStyle w:val="723"/>
        <w:spacing w:line="360" w:lineRule="auto"/>
        <w:rPr>
          <w:rFonts w:ascii="宋体" w:hAnsi="宋体" w:eastAsia="宋体"/>
          <w:sz w:val="24"/>
          <w:szCs w:val="24"/>
        </w:rPr>
      </w:pPr>
      <w:r>
        <w:rPr>
          <w:rFonts w:hint="eastAsia" w:ascii="宋体" w:hAnsi="宋体" w:eastAsia="宋体"/>
          <w:b/>
          <w:szCs w:val="24"/>
        </w:rPr>
        <w:t xml:space="preserve">7、类似业绩一览表</w:t>
      </w:r>
      <w:r>
        <w:rPr>
          <w:rFonts w:ascii="宋体" w:hAnsi="宋体" w:eastAsia="宋体"/>
          <w:sz w:val="24"/>
          <w:szCs w:val="24"/>
        </w:rPr>
      </w:r>
      <w:r/>
    </w:p>
    <w:p>
      <w:pPr>
        <w:pStyle w:val="723"/>
        <w:jc w:val="center"/>
        <w:spacing w:line="360" w:lineRule="auto"/>
        <w:rPr>
          <w:rFonts w:ascii="宋体" w:hAnsi="宋体" w:eastAsia="宋体"/>
          <w:sz w:val="24"/>
          <w:szCs w:val="24"/>
        </w:rPr>
      </w:pPr>
      <w:r>
        <w:rPr>
          <w:rFonts w:ascii="宋体" w:hAnsi="宋体" w:eastAsia="宋体"/>
          <w:sz w:val="24"/>
          <w:szCs w:val="24"/>
        </w:rPr>
      </w:r>
      <w:r/>
    </w:p>
    <w:p>
      <w:pPr>
        <w:pStyle w:val="723"/>
        <w:jc w:val="center"/>
        <w:spacing w:line="360" w:lineRule="auto"/>
        <w:rPr>
          <w:rFonts w:ascii="宋体" w:hAnsi="宋体" w:eastAsia="宋体"/>
          <w:b/>
          <w:sz w:val="24"/>
          <w:szCs w:val="24"/>
        </w:rPr>
      </w:pPr>
      <w:r>
        <w:rPr>
          <w:rFonts w:hint="eastAsia" w:ascii="宋体" w:hAnsi="宋体" w:eastAsia="宋体"/>
          <w:b/>
          <w:sz w:val="24"/>
          <w:szCs w:val="24"/>
        </w:rPr>
        <w:t xml:space="preserve">类似业绩一览表</w:t>
      </w:r>
      <w:r>
        <w:rPr>
          <w:rFonts w:ascii="宋体" w:hAnsi="宋体" w:eastAsia="宋体"/>
          <w:b/>
          <w:sz w:val="24"/>
          <w:szCs w:val="24"/>
        </w:rPr>
      </w:r>
      <w:r/>
    </w:p>
    <w:p>
      <w:pPr>
        <w:pStyle w:val="723"/>
        <w:jc w:val="center"/>
        <w:spacing w:line="360" w:lineRule="auto"/>
        <w:rPr>
          <w:rFonts w:ascii="宋体" w:hAnsi="宋体" w:eastAsia="宋体"/>
          <w:sz w:val="24"/>
          <w:szCs w:val="24"/>
        </w:rPr>
      </w:pPr>
      <w:r>
        <w:rPr>
          <w:rFonts w:ascii="宋体" w:hAnsi="宋体" w:eastAsia="宋体"/>
          <w:sz w:val="24"/>
          <w:szCs w:val="24"/>
        </w:rPr>
      </w:r>
      <w:r/>
    </w:p>
    <w:tbl>
      <w:tblPr>
        <w:tblW w:w="924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529"/>
        <w:gridCol w:w="1461"/>
        <w:gridCol w:w="1484"/>
        <w:gridCol w:w="2163"/>
        <w:gridCol w:w="1922"/>
      </w:tblGrid>
      <w:tr>
        <w:trPr/>
        <w:tc>
          <w:tcPr>
            <w:tcW w:w="689" w:type="dxa"/>
            <w:vAlign w:val="center"/>
            <w:textDirection w:val="lrTb"/>
            <w:noWrap w:val="false"/>
          </w:tcPr>
          <w:p>
            <w:pPr>
              <w:pStyle w:val="723"/>
              <w:jc w:val="center"/>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529" w:type="dxa"/>
            <w:vAlign w:val="center"/>
            <w:textDirection w:val="lrTb"/>
            <w:noWrap w:val="false"/>
          </w:tcPr>
          <w:p>
            <w:pPr>
              <w:pStyle w:val="723"/>
              <w:jc w:val="center"/>
              <w:spacing w:line="360" w:lineRule="auto"/>
              <w:rPr>
                <w:rFonts w:ascii="宋体" w:hAnsi="宋体" w:eastAsia="宋体"/>
                <w:sz w:val="24"/>
                <w:szCs w:val="24"/>
              </w:rPr>
            </w:pPr>
            <w:r>
              <w:rPr>
                <w:rFonts w:hint="eastAsia" w:ascii="宋体" w:hAnsi="宋体" w:eastAsia="宋体"/>
                <w:sz w:val="24"/>
                <w:szCs w:val="24"/>
              </w:rPr>
              <w:t xml:space="preserve">项目名称</w:t>
            </w:r>
            <w:r>
              <w:rPr>
                <w:rFonts w:ascii="宋体" w:hAnsi="宋体" w:eastAsia="宋体"/>
                <w:sz w:val="24"/>
                <w:szCs w:val="24"/>
              </w:rPr>
            </w:r>
            <w:r/>
          </w:p>
        </w:tc>
        <w:tc>
          <w:tcPr>
            <w:tcW w:w="1461" w:type="dxa"/>
            <w:vAlign w:val="center"/>
            <w:textDirection w:val="lrTb"/>
            <w:noWrap w:val="false"/>
          </w:tcPr>
          <w:p>
            <w:pPr>
              <w:pStyle w:val="723"/>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项目时间</w:t>
            </w:r>
            <w:r>
              <w:rPr>
                <w:rFonts w:ascii="宋体" w:hAnsi="宋体" w:eastAsia="宋体"/>
                <w:sz w:val="24"/>
                <w:szCs w:val="24"/>
              </w:rPr>
            </w:r>
            <w:r/>
          </w:p>
        </w:tc>
        <w:tc>
          <w:tcPr>
            <w:tcW w:w="1484" w:type="dxa"/>
            <w:vAlign w:val="center"/>
            <w:textDirection w:val="lrTb"/>
            <w:noWrap w:val="false"/>
          </w:tcPr>
          <w:p>
            <w:pPr>
              <w:pStyle w:val="723"/>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合同金额</w:t>
            </w:r>
            <w:r>
              <w:rPr>
                <w:rFonts w:ascii="宋体" w:hAnsi="宋体" w:eastAsia="宋体"/>
                <w:sz w:val="24"/>
                <w:szCs w:val="24"/>
              </w:rPr>
            </w:r>
            <w:r/>
          </w:p>
          <w:p>
            <w:pPr>
              <w:pStyle w:val="723"/>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（人民币）</w:t>
            </w:r>
            <w:r>
              <w:rPr>
                <w:rFonts w:ascii="宋体" w:hAnsi="宋体" w:eastAsia="宋体"/>
                <w:sz w:val="24"/>
                <w:szCs w:val="24"/>
              </w:rPr>
            </w:r>
            <w:r/>
          </w:p>
        </w:tc>
        <w:tc>
          <w:tcPr>
            <w:tcW w:w="2163" w:type="dxa"/>
            <w:vAlign w:val="center"/>
            <w:textDirection w:val="lrTb"/>
            <w:noWrap w:val="false"/>
          </w:tcPr>
          <w:p>
            <w:pPr>
              <w:pStyle w:val="723"/>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业主单位</w:t>
            </w:r>
            <w:r>
              <w:rPr>
                <w:rFonts w:ascii="宋体" w:hAnsi="宋体" w:eastAsia="宋体"/>
                <w:sz w:val="24"/>
                <w:szCs w:val="24"/>
              </w:rPr>
            </w:r>
            <w:r/>
          </w:p>
        </w:tc>
        <w:tc>
          <w:tcPr>
            <w:tcW w:w="1922" w:type="dxa"/>
            <w:vAlign w:val="center"/>
            <w:textDirection w:val="lrTb"/>
            <w:noWrap w:val="false"/>
          </w:tcPr>
          <w:p>
            <w:pPr>
              <w:pStyle w:val="723"/>
              <w:jc w:val="center"/>
              <w:spacing w:line="360" w:lineRule="auto"/>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r>
      <w:tr>
        <w:trPr/>
        <w:tc>
          <w:tcPr>
            <w:tcW w:w="689" w:type="dxa"/>
            <w:vAlign w:val="center"/>
            <w:textDirection w:val="lrTb"/>
            <w:noWrap w:val="false"/>
          </w:tcPr>
          <w:p>
            <w:pPr>
              <w:pStyle w:val="723"/>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529"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23"/>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529"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23"/>
              <w:jc w:val="cente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1529"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23"/>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1529"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23"/>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1529"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23"/>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1529"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23"/>
              <w:jc w:val="center"/>
              <w:spacing w:line="360" w:lineRule="auto"/>
              <w:rPr>
                <w:rFonts w:ascii="宋体" w:hAnsi="宋体" w:eastAsia="宋体"/>
                <w:sz w:val="24"/>
                <w:szCs w:val="24"/>
              </w:rPr>
            </w:pPr>
            <w:r>
              <w:rPr>
                <w:rFonts w:ascii="宋体" w:hAnsi="宋体" w:eastAsia="宋体"/>
                <w:sz w:val="24"/>
                <w:szCs w:val="24"/>
              </w:rPr>
            </w:r>
            <w:r/>
          </w:p>
        </w:tc>
      </w:tr>
    </w:tbl>
    <w:p>
      <w:pPr>
        <w:pStyle w:val="723"/>
        <w:spacing w:line="360" w:lineRule="auto"/>
        <w:rPr>
          <w:rFonts w:ascii="宋体" w:hAnsi="宋体" w:eastAsia="宋体"/>
          <w:sz w:val="24"/>
          <w:szCs w:val="24"/>
        </w:rPr>
      </w:pPr>
      <w:r>
        <w:rPr>
          <w:rFonts w:ascii="宋体" w:hAnsi="宋体" w:eastAsia="宋体"/>
          <w:sz w:val="24"/>
          <w:szCs w:val="24"/>
        </w:rPr>
      </w:r>
      <w:r/>
    </w:p>
    <w:p>
      <w:pPr>
        <w:pStyle w:val="723"/>
        <w:spacing w:line="360" w:lineRule="auto"/>
        <w:rPr>
          <w:rFonts w:ascii="宋体" w:hAnsi="宋体" w:eastAsia="宋体"/>
          <w:sz w:val="24"/>
          <w:szCs w:val="24"/>
        </w:rPr>
      </w:pPr>
      <w:r>
        <w:rPr>
          <w:rFonts w:ascii="宋体" w:hAnsi="宋体" w:eastAsia="宋体"/>
          <w:sz w:val="24"/>
          <w:szCs w:val="24"/>
        </w:rPr>
      </w:r>
      <w:r/>
    </w:p>
    <w:p>
      <w:pPr>
        <w:pStyle w:val="723"/>
        <w:spacing w:line="360" w:lineRule="auto"/>
        <w:rPr>
          <w:rFonts w:ascii="宋体" w:hAnsi="宋体" w:eastAsia="宋体"/>
          <w:sz w:val="24"/>
          <w:szCs w:val="24"/>
        </w:rPr>
      </w:pPr>
      <w:r>
        <w:rPr>
          <w:rFonts w:hint="eastAsia" w:ascii="宋体" w:hAnsi="宋体" w:eastAsia="宋体"/>
          <w:sz w:val="24"/>
          <w:szCs w:val="24"/>
        </w:rPr>
        <w:t xml:space="preserve">投标单位：（单位盖章）</w:t>
      </w:r>
      <w:r>
        <w:rPr>
          <w:rFonts w:ascii="宋体" w:hAnsi="宋体" w:eastAsia="宋体"/>
          <w:sz w:val="24"/>
          <w:szCs w:val="24"/>
        </w:rPr>
      </w:r>
      <w:r/>
    </w:p>
    <w:p>
      <w:pPr>
        <w:pStyle w:val="723"/>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723"/>
        <w:spacing w:line="360" w:lineRule="auto"/>
        <w:rPr>
          <w:rFonts w:ascii="宋体" w:hAnsi="宋体" w:eastAsia="宋体"/>
          <w:sz w:val="24"/>
          <w:szCs w:val="24"/>
        </w:rPr>
      </w:pPr>
      <w:r>
        <w:rPr>
          <w:rFonts w:hint="eastAsia" w:ascii="宋体" w:hAnsi="宋体" w:eastAsia="宋体"/>
          <w:sz w:val="24"/>
          <w:szCs w:val="24"/>
        </w:rPr>
        <w:t xml:space="preserve">日期：   年   月    日</w:t>
      </w:r>
      <w:r>
        <w:rPr>
          <w:rFonts w:ascii="宋体" w:hAnsi="宋体" w:eastAsia="宋体"/>
          <w:sz w:val="24"/>
          <w:szCs w:val="24"/>
        </w:rPr>
      </w:r>
      <w:r/>
    </w:p>
    <w:p>
      <w:pPr>
        <w:pStyle w:val="723"/>
        <w:spacing w:line="360" w:lineRule="auto"/>
        <w:rPr>
          <w:rFonts w:ascii="宋体" w:hAnsi="宋体" w:eastAsia="宋体"/>
          <w:sz w:val="24"/>
          <w:szCs w:val="24"/>
        </w:rPr>
      </w:pPr>
      <w:r>
        <w:rPr>
          <w:rFonts w:ascii="宋体" w:hAnsi="宋体" w:eastAsia="宋体"/>
          <w:sz w:val="24"/>
          <w:szCs w:val="24"/>
        </w:rPr>
      </w:r>
      <w:r/>
    </w:p>
    <w:p>
      <w:pPr>
        <w:pStyle w:val="723"/>
        <w:spacing w:line="360" w:lineRule="auto"/>
        <w:rPr>
          <w:rFonts w:ascii="宋体" w:hAnsi="宋体" w:eastAsia="宋体"/>
          <w:b/>
          <w:sz w:val="24"/>
          <w:szCs w:val="24"/>
        </w:rPr>
        <w:outlineLvl w:val="1"/>
      </w:pPr>
      <w:r>
        <w:rPr>
          <w:rFonts w:ascii="宋体" w:hAnsi="宋体" w:eastAsia="宋体"/>
          <w:b/>
          <w:sz w:val="24"/>
          <w:szCs w:val="24"/>
        </w:rPr>
        <w:br w:type="page" w:clear="all"/>
      </w:r>
      <w:r>
        <w:rPr>
          <w:rFonts w:hint="eastAsia" w:ascii="宋体" w:hAnsi="宋体" w:eastAsia="宋体"/>
          <w:b/>
          <w:sz w:val="24"/>
          <w:szCs w:val="24"/>
        </w:rPr>
        <w:t xml:space="preserve">8、资格证明文件</w:t>
      </w:r>
      <w:r>
        <w:rPr>
          <w:rFonts w:ascii="宋体" w:hAnsi="宋体" w:eastAsia="宋体"/>
          <w:b/>
          <w:sz w:val="24"/>
          <w:szCs w:val="24"/>
        </w:rPr>
      </w:r>
      <w:r/>
    </w:p>
    <w:p>
      <w:pPr>
        <w:pStyle w:val="723"/>
        <w:spacing w:line="360" w:lineRule="auto"/>
        <w:rPr>
          <w:rFonts w:ascii="宋体" w:hAnsi="宋体" w:eastAsia="宋体"/>
          <w:b/>
          <w:sz w:val="24"/>
          <w:szCs w:val="24"/>
        </w:rPr>
      </w:pPr>
      <w:r>
        <w:rPr>
          <w:rFonts w:ascii="宋体" w:hAnsi="宋体" w:eastAsia="宋体"/>
          <w:b/>
          <w:sz w:val="24"/>
          <w:szCs w:val="24"/>
        </w:rPr>
      </w:r>
      <w:r/>
    </w:p>
    <w:p>
      <w:pPr>
        <w:pStyle w:val="723"/>
        <w:spacing w:line="360" w:lineRule="auto"/>
        <w:rPr>
          <w:rFonts w:ascii="宋体" w:hAnsi="宋体" w:eastAsia="宋体"/>
          <w:b/>
          <w:sz w:val="24"/>
          <w:szCs w:val="24"/>
        </w:rPr>
        <w:outlineLvl w:val="2"/>
      </w:pPr>
      <w:r>
        <w:rPr>
          <w:rFonts w:hint="eastAsia" w:ascii="宋体" w:hAnsi="宋体" w:eastAsia="宋体"/>
          <w:b/>
          <w:sz w:val="24"/>
          <w:szCs w:val="24"/>
        </w:rPr>
        <w:t xml:space="preserve">(1)、关于资格文件的声明函</w:t>
      </w:r>
      <w:r>
        <w:rPr>
          <w:rFonts w:ascii="宋体" w:hAnsi="宋体" w:eastAsia="宋体"/>
          <w:b/>
          <w:sz w:val="24"/>
          <w:szCs w:val="24"/>
        </w:rPr>
      </w:r>
      <w:r/>
    </w:p>
    <w:p>
      <w:pPr>
        <w:pStyle w:val="723"/>
        <w:jc w:val="center"/>
        <w:spacing w:line="360" w:lineRule="auto"/>
        <w:rPr>
          <w:rFonts w:ascii="宋体" w:hAnsi="宋体" w:eastAsia="宋体"/>
          <w:sz w:val="24"/>
          <w:szCs w:val="24"/>
        </w:rPr>
      </w:pPr>
      <w:r>
        <w:rPr>
          <w:rFonts w:ascii="宋体" w:hAnsi="宋体" w:eastAsia="宋体"/>
          <w:sz w:val="24"/>
          <w:szCs w:val="24"/>
        </w:rPr>
      </w:r>
      <w:r/>
    </w:p>
    <w:p>
      <w:pPr>
        <w:pStyle w:val="723"/>
        <w:jc w:val="center"/>
        <w:spacing w:line="360" w:lineRule="auto"/>
        <w:rPr>
          <w:rFonts w:ascii="宋体" w:hAnsi="宋体" w:eastAsia="宋体"/>
          <w:sz w:val="24"/>
          <w:szCs w:val="24"/>
        </w:rPr>
      </w:pPr>
      <w:r>
        <w:rPr>
          <w:rFonts w:hint="eastAsia" w:ascii="宋体" w:hAnsi="宋体" w:eastAsia="宋体"/>
          <w:sz w:val="24"/>
          <w:szCs w:val="24"/>
        </w:rPr>
        <w:t xml:space="preserve">关于资格文件的声明函</w:t>
      </w:r>
      <w:r>
        <w:rPr>
          <w:rFonts w:ascii="宋体" w:hAnsi="宋体" w:eastAsia="宋体"/>
          <w:sz w:val="24"/>
          <w:szCs w:val="24"/>
        </w:rPr>
      </w:r>
      <w:r/>
    </w:p>
    <w:p>
      <w:pPr>
        <w:pStyle w:val="723"/>
        <w:jc w:val="center"/>
        <w:spacing w:line="360" w:lineRule="auto"/>
        <w:rPr>
          <w:rFonts w:ascii="宋体" w:hAnsi="宋体" w:eastAsia="宋体"/>
          <w:sz w:val="24"/>
          <w:szCs w:val="24"/>
        </w:rPr>
      </w:pPr>
      <w:r>
        <w:rPr>
          <w:rFonts w:ascii="宋体" w:hAnsi="宋体" w:eastAsia="宋体"/>
          <w:sz w:val="24"/>
          <w:szCs w:val="24"/>
        </w:rPr>
      </w:r>
      <w:r/>
    </w:p>
    <w:p>
      <w:pPr>
        <w:pStyle w:val="723"/>
        <w:spacing w:line="360" w:lineRule="auto"/>
        <w:rPr>
          <w:rFonts w:ascii="宋体" w:hAnsi="宋体" w:eastAsia="宋体"/>
          <w:sz w:val="24"/>
          <w:szCs w:val="24"/>
          <w:u w:val="single"/>
        </w:rPr>
      </w:pPr>
      <w:r>
        <w:rPr>
          <w:rFonts w:hint="eastAsia" w:ascii="宋体" w:hAnsi="宋体" w:eastAsia="宋体"/>
          <w:sz w:val="24"/>
          <w:szCs w:val="24"/>
          <w:u w:val="single"/>
        </w:rPr>
        <w:t xml:space="preserve">苏州鸿鑫工程咨询有限公司：</w:t>
      </w:r>
      <w:r>
        <w:rPr>
          <w:rFonts w:ascii="宋体" w:hAnsi="宋体" w:eastAsia="宋体"/>
          <w:sz w:val="24"/>
          <w:szCs w:val="24"/>
          <w:u w:val="single"/>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本公司愿就由贵公司组织实施的编号为</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号第</w:t>
      </w:r>
      <w:r>
        <w:rPr>
          <w:rFonts w:hint="eastAsia" w:ascii="宋体" w:hAnsi="宋体" w:eastAsia="宋体"/>
          <w:sz w:val="24"/>
          <w:szCs w:val="24"/>
          <w:u w:val="single"/>
        </w:rPr>
        <w:t xml:space="preserve">    </w:t>
      </w:r>
      <w:r>
        <w:rPr>
          <w:rFonts w:hint="eastAsia" w:ascii="宋体" w:hAnsi="宋体" w:eastAsia="宋体"/>
          <w:sz w:val="24"/>
          <w:szCs w:val="24"/>
        </w:rPr>
        <w:t xml:space="preserve">标段的招标活动进行投标。本公司所提交的投标文件中所有关于投标资格的文件、证明和陈述均是真实的、准确的。若与真实情况不符，本公司愿意承担由此而产生的一切后果。</w:t>
      </w:r>
      <w:r>
        <w:rPr>
          <w:rFonts w:ascii="宋体" w:hAnsi="宋体" w:eastAsia="宋体"/>
          <w:sz w:val="24"/>
          <w:szCs w:val="24"/>
        </w:rPr>
      </w:r>
      <w:r/>
    </w:p>
    <w:p>
      <w:pPr>
        <w:pStyle w:val="723"/>
        <w:ind w:firstLine="420"/>
        <w:jc w:val="left"/>
        <w:spacing w:line="360" w:lineRule="auto"/>
        <w:rPr>
          <w:rFonts w:ascii="宋体" w:hAnsi="宋体" w:eastAsia="宋体"/>
          <w:sz w:val="24"/>
          <w:szCs w:val="24"/>
        </w:rPr>
      </w:pPr>
      <w:r>
        <w:rPr>
          <w:rFonts w:ascii="宋体" w:hAnsi="宋体" w:eastAsia="宋体"/>
          <w:sz w:val="24"/>
          <w:szCs w:val="24"/>
        </w:rPr>
      </w:r>
      <w:r/>
    </w:p>
    <w:p>
      <w:pPr>
        <w:pStyle w:val="723"/>
        <w:ind w:firstLine="420"/>
        <w:jc w:val="left"/>
        <w:spacing w:line="360" w:lineRule="auto"/>
        <w:rPr>
          <w:rFonts w:ascii="宋体" w:hAnsi="宋体" w:eastAsia="宋体"/>
          <w:sz w:val="24"/>
          <w:szCs w:val="24"/>
        </w:rPr>
      </w:pPr>
      <w:r>
        <w:rPr>
          <w:rFonts w:ascii="宋体" w:hAnsi="宋体" w:eastAsia="宋体"/>
          <w:sz w:val="24"/>
          <w:szCs w:val="24"/>
        </w:rPr>
      </w:r>
      <w:r/>
    </w:p>
    <w:p>
      <w:pPr>
        <w:pStyle w:val="723"/>
        <w:spacing w:line="360" w:lineRule="auto"/>
        <w:rPr>
          <w:rFonts w:ascii="宋体" w:hAnsi="宋体" w:eastAsia="宋体"/>
          <w:sz w:val="24"/>
          <w:szCs w:val="24"/>
        </w:rPr>
      </w:pPr>
      <w:r>
        <w:rPr>
          <w:rFonts w:hint="eastAsia" w:ascii="宋体" w:hAnsi="宋体" w:eastAsia="宋体"/>
          <w:sz w:val="24"/>
          <w:szCs w:val="24"/>
        </w:rPr>
        <w:t xml:space="preserve">投标单位：（单位盖章）</w:t>
      </w:r>
      <w:r>
        <w:rPr>
          <w:rFonts w:ascii="宋体" w:hAnsi="宋体" w:eastAsia="宋体"/>
          <w:sz w:val="24"/>
          <w:szCs w:val="24"/>
        </w:rPr>
      </w:r>
      <w:r/>
    </w:p>
    <w:p>
      <w:pPr>
        <w:pStyle w:val="723"/>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723"/>
        <w:spacing w:line="360" w:lineRule="auto"/>
        <w:rPr>
          <w:rFonts w:ascii="宋体" w:hAnsi="宋体" w:eastAsia="宋体"/>
          <w:sz w:val="24"/>
          <w:szCs w:val="24"/>
        </w:rPr>
      </w:pPr>
      <w:r>
        <w:rPr>
          <w:rFonts w:hint="eastAsia" w:ascii="宋体" w:hAnsi="宋体" w:eastAsia="宋体"/>
          <w:sz w:val="24"/>
          <w:szCs w:val="24"/>
        </w:rPr>
        <w:t xml:space="preserve">日期：   年   月    日</w:t>
      </w:r>
      <w:r>
        <w:rPr>
          <w:rFonts w:ascii="宋体" w:hAnsi="宋体" w:eastAsia="宋体"/>
          <w:sz w:val="24"/>
          <w:szCs w:val="24"/>
        </w:rPr>
      </w:r>
      <w:r/>
    </w:p>
    <w:p>
      <w:pPr>
        <w:pStyle w:val="723"/>
        <w:ind w:left="3507" w:firstLine="1145"/>
        <w:jc w:val="left"/>
        <w:spacing w:line="360" w:lineRule="auto"/>
        <w:rPr>
          <w:rFonts w:ascii="宋体" w:hAnsi="宋体" w:eastAsia="宋体"/>
          <w:sz w:val="24"/>
          <w:szCs w:val="24"/>
        </w:rPr>
      </w:pPr>
      <w:r>
        <w:rPr>
          <w:rFonts w:ascii="宋体" w:hAnsi="宋体" w:eastAsia="宋体"/>
          <w:sz w:val="24"/>
          <w:szCs w:val="24"/>
        </w:rPr>
      </w:r>
      <w:r/>
    </w:p>
    <w:p>
      <w:pPr>
        <w:pStyle w:val="723"/>
        <w:spacing w:line="360" w:lineRule="auto"/>
        <w:rPr>
          <w:rFonts w:ascii="宋体" w:hAnsi="宋体" w:eastAsia="宋体"/>
          <w:b/>
          <w:sz w:val="24"/>
          <w:szCs w:val="24"/>
        </w:rPr>
        <w:outlineLvl w:val="2"/>
      </w:pPr>
      <w:r>
        <w:rPr>
          <w:rFonts w:ascii="宋体" w:hAnsi="宋体" w:eastAsia="宋体"/>
          <w:sz w:val="24"/>
          <w:szCs w:val="24"/>
        </w:rPr>
        <w:br w:type="page" w:clear="all"/>
      </w:r>
      <w:r>
        <w:rPr>
          <w:rFonts w:hint="eastAsia" w:ascii="宋体" w:hAnsi="宋体" w:eastAsia="宋体"/>
          <w:b/>
          <w:sz w:val="24"/>
          <w:szCs w:val="24"/>
        </w:rPr>
        <w:t xml:space="preserve">(2)、投标单位情况表</w:t>
      </w:r>
      <w:r>
        <w:rPr>
          <w:rFonts w:ascii="宋体" w:hAnsi="宋体" w:eastAsia="宋体"/>
          <w:b/>
          <w:sz w:val="24"/>
          <w:szCs w:val="24"/>
        </w:rPr>
      </w:r>
      <w:r/>
    </w:p>
    <w:p>
      <w:pPr>
        <w:pStyle w:val="723"/>
        <w:jc w:val="center"/>
        <w:spacing w:line="360" w:lineRule="auto"/>
        <w:rPr>
          <w:rFonts w:ascii="宋体" w:hAnsi="宋体" w:eastAsia="宋体"/>
          <w:sz w:val="24"/>
          <w:szCs w:val="24"/>
        </w:rPr>
      </w:pPr>
      <w:r>
        <w:rPr>
          <w:rFonts w:ascii="宋体" w:hAnsi="宋体" w:eastAsia="宋体"/>
          <w:sz w:val="24"/>
          <w:szCs w:val="24"/>
        </w:rPr>
      </w:r>
      <w:r/>
    </w:p>
    <w:p>
      <w:pPr>
        <w:pStyle w:val="723"/>
        <w:jc w:val="center"/>
        <w:spacing w:line="360" w:lineRule="auto"/>
        <w:rPr>
          <w:rFonts w:ascii="宋体" w:hAnsi="宋体" w:eastAsia="宋体"/>
          <w:sz w:val="24"/>
          <w:szCs w:val="24"/>
        </w:rPr>
      </w:pPr>
      <w:r>
        <w:rPr>
          <w:rFonts w:hint="eastAsia" w:ascii="宋体" w:hAnsi="宋体" w:eastAsia="宋体"/>
          <w:sz w:val="24"/>
          <w:szCs w:val="24"/>
        </w:rPr>
        <w:t xml:space="preserve">投标单位情况表</w:t>
      </w:r>
      <w:r>
        <w:rPr>
          <w:rFonts w:ascii="宋体" w:hAnsi="宋体" w:eastAsia="宋体"/>
          <w:sz w:val="24"/>
          <w:szCs w:val="24"/>
        </w:rPr>
      </w:r>
      <w:r/>
    </w:p>
    <w:p>
      <w:pPr>
        <w:pStyle w:val="723"/>
        <w:jc w:val="center"/>
        <w:spacing w:line="360" w:lineRule="auto"/>
        <w:rPr>
          <w:rFonts w:ascii="宋体" w:hAnsi="宋体" w:eastAsia="宋体"/>
          <w:sz w:val="24"/>
          <w:szCs w:val="24"/>
        </w:rPr>
      </w:pPr>
      <w:r>
        <w:rPr>
          <w:rFonts w:ascii="宋体" w:hAnsi="宋体" w:eastAsia="宋体"/>
          <w:sz w:val="24"/>
          <w:szCs w:val="24"/>
        </w:rPr>
      </w:r>
      <w:r/>
    </w:p>
    <w:p>
      <w:pPr>
        <w:pStyle w:val="723"/>
        <w:ind w:firstLine="480"/>
        <w:spacing w:line="360" w:lineRule="auto"/>
        <w:rPr>
          <w:rFonts w:ascii="宋体" w:hAnsi="宋体" w:eastAsia="宋体"/>
          <w:sz w:val="24"/>
          <w:szCs w:val="24"/>
        </w:rPr>
      </w:pPr>
      <w:r>
        <w:rPr>
          <w:rFonts w:hint="eastAsia" w:ascii="宋体" w:hAnsi="宋体" w:eastAsia="宋体"/>
          <w:sz w:val="24"/>
          <w:szCs w:val="24"/>
        </w:rPr>
        <w:t xml:space="preserve">单位名称（盖章）</w:t>
      </w:r>
      <w:r>
        <w:rPr>
          <w:rFonts w:ascii="宋体" w:hAnsi="宋体" w:eastAsia="宋体"/>
          <w:sz w:val="24"/>
          <w:szCs w:val="24"/>
        </w:rPr>
      </w:r>
      <w:r/>
    </w:p>
    <w:tbl>
      <w:tblPr>
        <w:tblW w:w="926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法定代表人</w:t>
            </w:r>
            <w:r>
              <w:rPr>
                <w:rFonts w:ascii="宋体" w:hAnsi="宋体" w:eastAsia="宋体"/>
                <w:sz w:val="24"/>
                <w:szCs w:val="24"/>
              </w:rPr>
            </w:r>
            <w:r/>
          </w:p>
        </w:tc>
        <w:tc>
          <w:tcPr>
            <w:tcW w:w="2005"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成立日期</w:t>
            </w:r>
            <w:r>
              <w:rPr>
                <w:rFonts w:ascii="宋体" w:hAnsi="宋体" w:eastAsia="宋体"/>
                <w:sz w:val="24"/>
                <w:szCs w:val="24"/>
              </w:rPr>
            </w:r>
            <w:r/>
          </w:p>
        </w:tc>
        <w:tc>
          <w:tcPr>
            <w:gridSpan w:val="2"/>
            <w:tcW w:w="3292"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r>
      <w:tr>
        <w:trPr>
          <w:cantSplit/>
        </w:trPr>
        <w:tc>
          <w:tcPr>
            <w:tcW w:w="2510"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企业地址</w:t>
            </w:r>
            <w:r>
              <w:rPr>
                <w:rFonts w:ascii="宋体" w:hAnsi="宋体" w:eastAsia="宋体"/>
                <w:sz w:val="24"/>
                <w:szCs w:val="24"/>
              </w:rPr>
            </w:r>
            <w:r/>
          </w:p>
        </w:tc>
        <w:tc>
          <w:tcPr>
            <w:tcW w:w="2005"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注册资本</w:t>
            </w:r>
            <w:r>
              <w:rPr>
                <w:rFonts w:ascii="宋体" w:hAnsi="宋体" w:eastAsia="宋体"/>
                <w:sz w:val="24"/>
                <w:szCs w:val="24"/>
              </w:rPr>
            </w:r>
            <w:r/>
          </w:p>
        </w:tc>
        <w:tc>
          <w:tcPr>
            <w:gridSpan w:val="2"/>
            <w:tcW w:w="3292" w:type="dxa"/>
            <w:vAlign w:val="top"/>
            <w:textDirection w:val="lrTb"/>
            <w:noWrap w:val="false"/>
          </w:tcPr>
          <w:p>
            <w:pPr>
              <w:pStyle w:val="723"/>
              <w:ind w:firstLine="2160"/>
              <w:jc w:val="left"/>
              <w:rPr>
                <w:rFonts w:ascii="宋体" w:hAnsi="宋体" w:eastAsia="宋体"/>
                <w:sz w:val="24"/>
                <w:szCs w:val="24"/>
              </w:rPr>
            </w:pPr>
            <w:r>
              <w:rPr>
                <w:rFonts w:hint="eastAsia" w:ascii="宋体" w:hAnsi="宋体" w:eastAsia="宋体"/>
                <w:sz w:val="24"/>
                <w:szCs w:val="24"/>
              </w:rPr>
              <w:t xml:space="preserve">万元</w:t>
            </w:r>
            <w:r>
              <w:rPr>
                <w:rFonts w:ascii="宋体" w:hAnsi="宋体" w:eastAsia="宋体"/>
                <w:sz w:val="24"/>
                <w:szCs w:val="24"/>
              </w:rPr>
            </w:r>
            <w:r/>
          </w:p>
        </w:tc>
      </w:tr>
      <w:tr>
        <w:trPr>
          <w:cantSplit/>
        </w:trPr>
        <w:tc>
          <w:tcPr>
            <w:tcW w:w="2510"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经营范围</w:t>
            </w:r>
            <w:r>
              <w:rPr>
                <w:rFonts w:ascii="宋体" w:hAnsi="宋体" w:eastAsia="宋体"/>
                <w:sz w:val="24"/>
                <w:szCs w:val="24"/>
              </w:rPr>
            </w:r>
            <w:r/>
          </w:p>
        </w:tc>
        <w:tc>
          <w:tcPr>
            <w:gridSpan w:val="4"/>
            <w:tcW w:w="6758"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r>
      <w:tr>
        <w:trPr>
          <w:cantSplit/>
        </w:trPr>
        <w:tc>
          <w:tcPr>
            <w:tcW w:w="2510"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职工人数</w:t>
            </w:r>
            <w:r>
              <w:rPr>
                <w:rFonts w:ascii="宋体" w:hAnsi="宋体" w:eastAsia="宋体"/>
                <w:sz w:val="24"/>
                <w:szCs w:val="24"/>
              </w:rPr>
            </w:r>
            <w:r/>
          </w:p>
        </w:tc>
        <w:tc>
          <w:tcPr>
            <w:tcW w:w="2005"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c>
          <w:tcPr>
            <w:gridSpan w:val="2"/>
            <w:tcW w:w="3517"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其中：有中高级以上职称的人数</w:t>
            </w:r>
            <w:r>
              <w:rPr>
                <w:rFonts w:ascii="宋体" w:hAnsi="宋体" w:eastAsia="宋体"/>
                <w:sz w:val="24"/>
                <w:szCs w:val="24"/>
              </w:rPr>
            </w:r>
            <w:r/>
          </w:p>
        </w:tc>
        <w:tc>
          <w:tcPr>
            <w:tcW w:w="1236"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r>
      <w:tr>
        <w:trPr>
          <w:cantSplit/>
        </w:trPr>
        <w:tc>
          <w:tcPr>
            <w:tcW w:w="2510" w:type="dxa"/>
            <w:vAlign w:val="center"/>
            <w:textDirection w:val="lrTb"/>
            <w:noWrap w:val="false"/>
          </w:tcPr>
          <w:p>
            <w:pPr>
              <w:pStyle w:val="723"/>
              <w:rPr>
                <w:rFonts w:ascii="宋体" w:hAnsi="宋体" w:eastAsia="宋体"/>
                <w:sz w:val="24"/>
                <w:szCs w:val="24"/>
              </w:rPr>
            </w:pPr>
            <w:r>
              <w:rPr>
                <w:rFonts w:hint="eastAsia" w:ascii="宋体" w:hAnsi="宋体" w:eastAsia="宋体"/>
                <w:sz w:val="24"/>
                <w:szCs w:val="24"/>
              </w:rPr>
              <w:t xml:space="preserve">资产总计</w:t>
            </w:r>
            <w:r>
              <w:rPr>
                <w:rFonts w:ascii="宋体" w:hAnsi="宋体" w:eastAsia="宋体"/>
                <w:sz w:val="24"/>
                <w:szCs w:val="24"/>
              </w:rPr>
            </w:r>
            <w:r/>
          </w:p>
        </w:tc>
        <w:tc>
          <w:tcPr>
            <w:tcW w:w="2005" w:type="dxa"/>
            <w:vAlign w:val="center"/>
            <w:textDirection w:val="lrTb"/>
            <w:noWrap w:val="false"/>
          </w:tcPr>
          <w:p>
            <w:pPr>
              <w:pStyle w:val="723"/>
              <w:jc w:val="center"/>
              <w:rPr>
                <w:rFonts w:ascii="宋体" w:hAnsi="宋体" w:eastAsia="宋体"/>
                <w:sz w:val="24"/>
                <w:szCs w:val="24"/>
              </w:rPr>
            </w:pPr>
            <w:r>
              <w:rPr>
                <w:rFonts w:hint="eastAsia" w:ascii="宋体" w:hAnsi="宋体" w:eastAsia="宋体"/>
                <w:sz w:val="24"/>
                <w:szCs w:val="24"/>
              </w:rPr>
              <w:t xml:space="preserve">万元</w:t>
            </w:r>
            <w:r>
              <w:rPr>
                <w:rFonts w:ascii="宋体" w:hAnsi="宋体" w:eastAsia="宋体"/>
                <w:sz w:val="24"/>
                <w:szCs w:val="24"/>
              </w:rPr>
            </w:r>
            <w:r/>
          </w:p>
        </w:tc>
        <w:tc>
          <w:tcPr>
            <w:tcW w:w="1461" w:type="dxa"/>
            <w:vAlign w:val="center"/>
            <w:textDirection w:val="lrTb"/>
            <w:noWrap w:val="false"/>
          </w:tcPr>
          <w:p>
            <w:pPr>
              <w:pStyle w:val="723"/>
              <w:rPr>
                <w:rFonts w:ascii="宋体" w:hAnsi="宋体" w:eastAsia="宋体"/>
                <w:sz w:val="24"/>
                <w:szCs w:val="24"/>
              </w:rPr>
            </w:pPr>
            <w:r>
              <w:rPr>
                <w:rFonts w:hint="eastAsia" w:ascii="宋体" w:hAnsi="宋体" w:eastAsia="宋体"/>
                <w:sz w:val="24"/>
                <w:szCs w:val="24"/>
              </w:rPr>
              <w:t xml:space="preserve">净资产</w:t>
            </w:r>
            <w:r>
              <w:rPr>
                <w:rFonts w:ascii="宋体" w:hAnsi="宋体" w:eastAsia="宋体"/>
                <w:sz w:val="24"/>
                <w:szCs w:val="24"/>
              </w:rPr>
            </w:r>
            <w:r/>
          </w:p>
        </w:tc>
        <w:tc>
          <w:tcPr>
            <w:gridSpan w:val="2"/>
            <w:tcW w:w="3292" w:type="dxa"/>
            <w:vAlign w:val="center"/>
            <w:textDirection w:val="lrTb"/>
            <w:noWrap w:val="false"/>
          </w:tcPr>
          <w:p>
            <w:pPr>
              <w:pStyle w:val="723"/>
              <w:jc w:val="center"/>
              <w:rPr>
                <w:rFonts w:ascii="宋体" w:hAnsi="宋体" w:eastAsia="宋体"/>
                <w:sz w:val="24"/>
                <w:szCs w:val="24"/>
              </w:rPr>
            </w:pPr>
            <w:r>
              <w:rPr>
                <w:rFonts w:hint="eastAsia" w:ascii="宋体" w:hAnsi="宋体" w:eastAsia="宋体"/>
                <w:sz w:val="24"/>
                <w:szCs w:val="24"/>
              </w:rPr>
              <w:t xml:space="preserve">万元</w:t>
            </w:r>
            <w:r>
              <w:rPr>
                <w:rFonts w:ascii="宋体" w:hAnsi="宋体" w:eastAsia="宋体"/>
                <w:sz w:val="24"/>
                <w:szCs w:val="24"/>
              </w:rPr>
            </w:r>
            <w:r/>
          </w:p>
        </w:tc>
      </w:tr>
      <w:tr>
        <w:trPr>
          <w:cantSplit/>
        </w:trPr>
        <w:tc>
          <w:tcPr>
            <w:tcW w:w="2510" w:type="dxa"/>
            <w:vAlign w:val="center"/>
            <w:textDirection w:val="lrTb"/>
            <w:noWrap w:val="false"/>
          </w:tcPr>
          <w:p>
            <w:pPr>
              <w:pStyle w:val="723"/>
              <w:rPr>
                <w:rFonts w:ascii="宋体" w:hAnsi="宋体" w:eastAsia="宋体"/>
                <w:sz w:val="24"/>
                <w:szCs w:val="24"/>
              </w:rPr>
            </w:pPr>
            <w:r>
              <w:rPr>
                <w:rFonts w:hint="eastAsia" w:ascii="宋体" w:hAnsi="宋体" w:eastAsia="宋体"/>
                <w:sz w:val="24"/>
                <w:szCs w:val="24"/>
              </w:rPr>
              <w:t xml:space="preserve">股东权益</w:t>
            </w:r>
            <w:r>
              <w:rPr>
                <w:rFonts w:ascii="宋体" w:hAnsi="宋体" w:eastAsia="宋体"/>
                <w:sz w:val="24"/>
                <w:szCs w:val="24"/>
              </w:rPr>
            </w:r>
            <w:r/>
          </w:p>
        </w:tc>
        <w:tc>
          <w:tcPr>
            <w:tcW w:w="2005" w:type="dxa"/>
            <w:vAlign w:val="center"/>
            <w:textDirection w:val="lrTb"/>
            <w:noWrap w:val="false"/>
          </w:tcPr>
          <w:p>
            <w:pPr>
              <w:pStyle w:val="723"/>
              <w:jc w:val="center"/>
              <w:rPr>
                <w:rFonts w:ascii="宋体" w:hAnsi="宋体" w:eastAsia="宋体"/>
                <w:sz w:val="24"/>
                <w:szCs w:val="24"/>
              </w:rPr>
            </w:pPr>
            <w:r>
              <w:rPr>
                <w:rFonts w:hint="eastAsia" w:ascii="宋体" w:hAnsi="宋体" w:eastAsia="宋体"/>
                <w:sz w:val="24"/>
                <w:szCs w:val="24"/>
              </w:rPr>
              <w:t xml:space="preserve">万元</w:t>
            </w:r>
            <w:r>
              <w:rPr>
                <w:rFonts w:ascii="宋体" w:hAnsi="宋体" w:eastAsia="宋体"/>
                <w:sz w:val="24"/>
                <w:szCs w:val="24"/>
              </w:rPr>
            </w:r>
            <w:r/>
          </w:p>
        </w:tc>
        <w:tc>
          <w:tcPr>
            <w:tcW w:w="1461" w:type="dxa"/>
            <w:vAlign w:val="center"/>
            <w:textDirection w:val="lrTb"/>
            <w:noWrap w:val="false"/>
          </w:tcPr>
          <w:p>
            <w:pPr>
              <w:pStyle w:val="723"/>
              <w:rPr>
                <w:rFonts w:ascii="宋体" w:hAnsi="宋体" w:eastAsia="宋体"/>
                <w:sz w:val="24"/>
                <w:szCs w:val="24"/>
              </w:rPr>
            </w:pPr>
            <w:r>
              <w:rPr>
                <w:rFonts w:hint="eastAsia" w:ascii="宋体" w:hAnsi="宋体" w:eastAsia="宋体"/>
                <w:sz w:val="24"/>
                <w:szCs w:val="24"/>
              </w:rPr>
              <w:t xml:space="preserve">销售收入</w:t>
            </w:r>
            <w:r>
              <w:rPr>
                <w:rFonts w:ascii="宋体" w:hAnsi="宋体" w:eastAsia="宋体"/>
                <w:sz w:val="24"/>
                <w:szCs w:val="24"/>
              </w:rPr>
            </w:r>
            <w:r/>
          </w:p>
        </w:tc>
        <w:tc>
          <w:tcPr>
            <w:gridSpan w:val="2"/>
            <w:tcW w:w="3292" w:type="dxa"/>
            <w:vAlign w:val="center"/>
            <w:textDirection w:val="lrTb"/>
            <w:noWrap w:val="false"/>
          </w:tcPr>
          <w:p>
            <w:pPr>
              <w:pStyle w:val="723"/>
              <w:jc w:val="center"/>
              <w:rPr>
                <w:rFonts w:ascii="宋体" w:hAnsi="宋体" w:eastAsia="宋体"/>
                <w:sz w:val="24"/>
                <w:szCs w:val="24"/>
              </w:rPr>
            </w:pPr>
            <w:r>
              <w:rPr>
                <w:rFonts w:hint="eastAsia" w:ascii="宋体" w:hAnsi="宋体" w:eastAsia="宋体"/>
                <w:sz w:val="24"/>
                <w:szCs w:val="24"/>
              </w:rPr>
              <w:t xml:space="preserve">20</w:t>
            </w:r>
            <w:r>
              <w:rPr>
                <w:rFonts w:ascii="宋体" w:hAnsi="宋体" w:eastAsia="宋体"/>
                <w:sz w:val="24"/>
                <w:szCs w:val="24"/>
              </w:rPr>
              <w:t xml:space="preserve">2 </w:t>
            </w:r>
            <w:r>
              <w:rPr>
                <w:rFonts w:hint="eastAsia" w:ascii="宋体" w:hAnsi="宋体" w:eastAsia="宋体"/>
                <w:sz w:val="24"/>
                <w:szCs w:val="24"/>
              </w:rPr>
              <w:t xml:space="preserve">年 万元</w:t>
            </w:r>
            <w:r>
              <w:rPr>
                <w:rFonts w:ascii="宋体" w:hAnsi="宋体" w:eastAsia="宋体"/>
                <w:sz w:val="24"/>
                <w:szCs w:val="24"/>
              </w:rPr>
            </w:r>
            <w:r/>
          </w:p>
        </w:tc>
      </w:tr>
      <w:tr>
        <w:trPr>
          <w:cantSplit/>
        </w:trPr>
        <w:tc>
          <w:tcPr>
            <w:tcW w:w="2510"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实现利润</w:t>
            </w:r>
            <w:r>
              <w:rPr>
                <w:rFonts w:ascii="宋体" w:hAnsi="宋体" w:eastAsia="宋体"/>
                <w:sz w:val="24"/>
                <w:szCs w:val="24"/>
              </w:rPr>
            </w:r>
            <w:r/>
          </w:p>
        </w:tc>
        <w:tc>
          <w:tcPr>
            <w:tcW w:w="2005"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20</w:t>
            </w:r>
            <w:r>
              <w:rPr>
                <w:rFonts w:ascii="宋体" w:hAnsi="宋体" w:eastAsia="宋体"/>
                <w:sz w:val="24"/>
                <w:szCs w:val="24"/>
              </w:rPr>
              <w:t xml:space="preserve">2 </w:t>
            </w:r>
            <w:r>
              <w:rPr>
                <w:rFonts w:hint="eastAsia" w:ascii="宋体" w:hAnsi="宋体" w:eastAsia="宋体"/>
                <w:sz w:val="24"/>
                <w:szCs w:val="24"/>
              </w:rPr>
              <w:t xml:space="preserve">年 万元</w:t>
            </w:r>
            <w:r>
              <w:rPr>
                <w:rFonts w:ascii="宋体" w:hAnsi="宋体" w:eastAsia="宋体"/>
                <w:sz w:val="24"/>
                <w:szCs w:val="24"/>
              </w:rPr>
            </w:r>
            <w:r/>
          </w:p>
        </w:tc>
        <w:tc>
          <w:tcPr>
            <w:tcW w:w="1461"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c>
          <w:tcPr>
            <w:gridSpan w:val="2"/>
            <w:tcW w:w="3292"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r>
      <w:tr>
        <w:trPr>
          <w:cantSplit/>
        </w:trPr>
        <w:tc>
          <w:tcPr>
            <w:tcW w:w="2510"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营业面积（含厂房面积）</w:t>
            </w:r>
            <w:r>
              <w:rPr>
                <w:rFonts w:ascii="宋体" w:hAnsi="宋体" w:eastAsia="宋体"/>
                <w:sz w:val="24"/>
                <w:szCs w:val="24"/>
              </w:rPr>
            </w:r>
            <w:r/>
          </w:p>
        </w:tc>
        <w:tc>
          <w:tcPr>
            <w:tcW w:w="2005" w:type="dxa"/>
            <w:vAlign w:val="center"/>
            <w:textDirection w:val="lrTb"/>
            <w:noWrap w:val="false"/>
          </w:tcPr>
          <w:p>
            <w:pPr>
              <w:pStyle w:val="723"/>
              <w:ind w:firstLine="960"/>
              <w:rPr>
                <w:rFonts w:ascii="宋体" w:hAnsi="宋体" w:eastAsia="宋体"/>
                <w:sz w:val="24"/>
                <w:szCs w:val="24"/>
              </w:rPr>
            </w:pPr>
            <w:r>
              <w:rPr>
                <w:rFonts w:hint="eastAsia" w:ascii="宋体" w:hAnsi="宋体" w:eastAsia="宋体"/>
                <w:sz w:val="24"/>
                <w:szCs w:val="24"/>
              </w:rPr>
              <w:t xml:space="preserve">平方米</w:t>
            </w:r>
            <w:r>
              <w:rPr>
                <w:rFonts w:ascii="宋体" w:hAnsi="宋体" w:eastAsia="宋体"/>
                <w:sz w:val="24"/>
                <w:szCs w:val="24"/>
              </w:rPr>
            </w:r>
            <w:r/>
          </w:p>
        </w:tc>
        <w:tc>
          <w:tcPr>
            <w:tcW w:w="1461"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其中：</w:t>
            </w:r>
            <w:r>
              <w:rPr>
                <w:rFonts w:ascii="宋体" w:hAnsi="宋体" w:eastAsia="宋体"/>
                <w:sz w:val="24"/>
                <w:szCs w:val="24"/>
              </w:rPr>
            </w:r>
            <w:r/>
          </w:p>
        </w:tc>
        <w:tc>
          <w:tcPr>
            <w:gridSpan w:val="2"/>
            <w:tcW w:w="3292"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自有面积平方米</w:t>
            </w:r>
            <w:r>
              <w:rPr>
                <w:rFonts w:ascii="宋体" w:hAnsi="宋体" w:eastAsia="宋体"/>
                <w:sz w:val="24"/>
                <w:szCs w:val="24"/>
              </w:rPr>
            </w:r>
            <w:r/>
          </w:p>
          <w:p>
            <w:pPr>
              <w:pStyle w:val="723"/>
              <w:jc w:val="left"/>
              <w:rPr>
                <w:rFonts w:ascii="宋体" w:hAnsi="宋体" w:eastAsia="宋体"/>
                <w:sz w:val="24"/>
                <w:szCs w:val="24"/>
              </w:rPr>
            </w:pPr>
            <w:r>
              <w:rPr>
                <w:rFonts w:hint="eastAsia" w:ascii="宋体" w:hAnsi="宋体" w:eastAsia="宋体"/>
                <w:sz w:val="24"/>
                <w:szCs w:val="24"/>
              </w:rPr>
              <w:t xml:space="preserve">承租面积平方米</w:t>
            </w:r>
            <w:r>
              <w:rPr>
                <w:rFonts w:ascii="宋体" w:hAnsi="宋体" w:eastAsia="宋体"/>
                <w:sz w:val="24"/>
                <w:szCs w:val="24"/>
              </w:rPr>
            </w:r>
            <w:r/>
          </w:p>
        </w:tc>
      </w:tr>
      <w:tr>
        <w:trPr>
          <w:cantSplit/>
        </w:trPr>
        <w:tc>
          <w:tcPr>
            <w:tcW w:w="2510"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p>
            <w:pPr>
              <w:pStyle w:val="723"/>
              <w:jc w:val="left"/>
              <w:rPr>
                <w:rFonts w:ascii="宋体" w:hAnsi="宋体" w:eastAsia="宋体"/>
                <w:sz w:val="24"/>
                <w:szCs w:val="24"/>
              </w:rPr>
            </w:pPr>
            <w:r>
              <w:rPr>
                <w:rFonts w:hint="eastAsia" w:ascii="宋体" w:hAnsi="宋体" w:eastAsia="宋体"/>
                <w:sz w:val="24"/>
                <w:szCs w:val="24"/>
              </w:rPr>
              <w:t xml:space="preserve">单位简历及内设机构情况</w:t>
            </w:r>
            <w:r>
              <w:rPr>
                <w:rFonts w:ascii="宋体" w:hAnsi="宋体" w:eastAsia="宋体"/>
                <w:sz w:val="24"/>
                <w:szCs w:val="24"/>
              </w:rPr>
            </w:r>
            <w:r/>
          </w:p>
          <w:p>
            <w:pPr>
              <w:pStyle w:val="723"/>
              <w:jc w:val="left"/>
              <w:rPr>
                <w:rFonts w:ascii="宋体" w:hAnsi="宋体" w:eastAsia="宋体"/>
                <w:sz w:val="24"/>
                <w:szCs w:val="24"/>
              </w:rPr>
            </w:pPr>
            <w:r>
              <w:rPr>
                <w:rFonts w:ascii="宋体" w:hAnsi="宋体" w:eastAsia="宋体"/>
                <w:sz w:val="24"/>
                <w:szCs w:val="24"/>
              </w:rPr>
            </w:r>
            <w:r/>
          </w:p>
        </w:tc>
        <w:tc>
          <w:tcPr>
            <w:gridSpan w:val="4"/>
            <w:tcW w:w="6758"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r>
      <w:tr>
        <w:trPr>
          <w:cantSplit/>
        </w:trPr>
        <w:tc>
          <w:tcPr>
            <w:tcW w:w="2510"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p>
            <w:pPr>
              <w:pStyle w:val="723"/>
              <w:jc w:val="left"/>
              <w:rPr>
                <w:rFonts w:ascii="宋体" w:hAnsi="宋体" w:eastAsia="宋体"/>
                <w:sz w:val="24"/>
                <w:szCs w:val="24"/>
              </w:rPr>
            </w:pPr>
            <w:r>
              <w:rPr>
                <w:rFonts w:hint="eastAsia" w:ascii="宋体" w:hAnsi="宋体" w:eastAsia="宋体"/>
                <w:sz w:val="24"/>
                <w:szCs w:val="24"/>
              </w:rPr>
              <w:t xml:space="preserve">单位优势及特长</w:t>
            </w:r>
            <w:r>
              <w:rPr>
                <w:rFonts w:ascii="宋体" w:hAnsi="宋体" w:eastAsia="宋体"/>
                <w:sz w:val="24"/>
                <w:szCs w:val="24"/>
              </w:rPr>
            </w:r>
            <w:r/>
          </w:p>
          <w:p>
            <w:pPr>
              <w:pStyle w:val="723"/>
              <w:jc w:val="left"/>
              <w:rPr>
                <w:rFonts w:ascii="宋体" w:hAnsi="宋体" w:eastAsia="宋体"/>
                <w:sz w:val="24"/>
                <w:szCs w:val="24"/>
              </w:rPr>
            </w:pPr>
            <w:r>
              <w:rPr>
                <w:rFonts w:ascii="宋体" w:hAnsi="宋体" w:eastAsia="宋体"/>
                <w:sz w:val="24"/>
                <w:szCs w:val="24"/>
              </w:rPr>
            </w:r>
            <w:r/>
          </w:p>
        </w:tc>
        <w:tc>
          <w:tcPr>
            <w:gridSpan w:val="4"/>
            <w:tcW w:w="6758"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r>
      <w:tr>
        <w:trPr>
          <w:cantSplit/>
        </w:trPr>
        <w:tc>
          <w:tcPr>
            <w:tcW w:w="2510"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近三年来完成或正在履行的重大合同情况</w:t>
            </w:r>
            <w:r>
              <w:rPr>
                <w:rFonts w:ascii="宋体" w:hAnsi="宋体" w:eastAsia="宋体"/>
                <w:sz w:val="24"/>
                <w:szCs w:val="24"/>
              </w:rPr>
            </w:r>
            <w:r/>
          </w:p>
        </w:tc>
        <w:tc>
          <w:tcPr>
            <w:gridSpan w:val="4"/>
            <w:tcW w:w="6758"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r>
      <w:tr>
        <w:trPr>
          <w:cantSplit/>
        </w:trPr>
        <w:tc>
          <w:tcPr>
            <w:tcW w:w="2510"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最近</w:t>
            </w:r>
            <w:r>
              <w:rPr>
                <w:rFonts w:ascii="宋体" w:hAnsi="宋体" w:eastAsia="宋体"/>
                <w:sz w:val="24"/>
                <w:szCs w:val="24"/>
              </w:rPr>
              <w:t xml:space="preserve">2</w:t>
            </w:r>
            <w:r>
              <w:rPr>
                <w:rFonts w:hint="eastAsia" w:ascii="宋体" w:hAnsi="宋体" w:eastAsia="宋体"/>
                <w:sz w:val="24"/>
                <w:szCs w:val="24"/>
              </w:rPr>
              <w:t xml:space="preserve">年内在经营过程中受到何种奖励或处分（包括情况和结果）</w:t>
            </w:r>
            <w:r>
              <w:rPr>
                <w:rFonts w:ascii="宋体" w:hAnsi="宋体" w:eastAsia="宋体"/>
                <w:sz w:val="24"/>
                <w:szCs w:val="24"/>
              </w:rPr>
            </w:r>
            <w:r/>
          </w:p>
        </w:tc>
        <w:tc>
          <w:tcPr>
            <w:gridSpan w:val="4"/>
            <w:tcW w:w="6758"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r>
      <w:tr>
        <w:trPr>
          <w:cantSplit/>
        </w:trPr>
        <w:tc>
          <w:tcPr>
            <w:tcW w:w="2510"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最近</w:t>
            </w:r>
            <w:r>
              <w:rPr>
                <w:rFonts w:ascii="宋体" w:hAnsi="宋体" w:eastAsia="宋体"/>
                <w:sz w:val="24"/>
                <w:szCs w:val="24"/>
              </w:rPr>
              <w:t xml:space="preserve">3</w:t>
            </w:r>
            <w:r>
              <w:rPr>
                <w:rFonts w:hint="eastAsia" w:ascii="宋体" w:hAnsi="宋体" w:eastAsia="宋体"/>
                <w:sz w:val="24"/>
                <w:szCs w:val="24"/>
              </w:rPr>
              <w:t xml:space="preserve">年内有无因售假、售劣或是其他原因被消费者投诉或起诉的情况及说明（包括解决方式和结果）</w:t>
            </w:r>
            <w:r>
              <w:rPr>
                <w:rFonts w:ascii="宋体" w:hAnsi="宋体" w:eastAsia="宋体"/>
                <w:sz w:val="24"/>
                <w:szCs w:val="24"/>
              </w:rPr>
            </w:r>
            <w:r/>
          </w:p>
        </w:tc>
        <w:tc>
          <w:tcPr>
            <w:gridSpan w:val="4"/>
            <w:tcW w:w="6758"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r>
      <w:tr>
        <w:trPr>
          <w:cantSplit/>
        </w:trPr>
        <w:tc>
          <w:tcPr>
            <w:tcW w:w="2510"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最近</w:t>
            </w:r>
            <w:r>
              <w:rPr>
                <w:rFonts w:ascii="宋体" w:hAnsi="宋体" w:eastAsia="宋体"/>
                <w:sz w:val="24"/>
                <w:szCs w:val="24"/>
              </w:rPr>
              <w:t xml:space="preserve">3</w:t>
            </w:r>
            <w:r>
              <w:rPr>
                <w:rFonts w:hint="eastAsia" w:ascii="宋体" w:hAnsi="宋体" w:eastAsia="宋体"/>
                <w:sz w:val="24"/>
                <w:szCs w:val="24"/>
              </w:rPr>
              <w:t xml:space="preserve">年内主要负责人有无因经济犯罪被司法机关追究的情况及说明</w:t>
            </w:r>
            <w:r>
              <w:rPr>
                <w:rFonts w:ascii="宋体" w:hAnsi="宋体" w:eastAsia="宋体"/>
                <w:sz w:val="24"/>
                <w:szCs w:val="24"/>
              </w:rPr>
            </w:r>
            <w:r/>
          </w:p>
        </w:tc>
        <w:tc>
          <w:tcPr>
            <w:gridSpan w:val="4"/>
            <w:tcW w:w="6758"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r>
      <w:tr>
        <w:trPr>
          <w:cantSplit/>
        </w:trPr>
        <w:tc>
          <w:tcPr>
            <w:tcW w:w="2510"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获得技术认证的工程师及简介</w:t>
            </w:r>
            <w:r>
              <w:rPr>
                <w:rFonts w:ascii="宋体" w:hAnsi="宋体" w:eastAsia="宋体"/>
                <w:sz w:val="24"/>
                <w:szCs w:val="24"/>
              </w:rPr>
            </w:r>
            <w:r/>
          </w:p>
        </w:tc>
        <w:tc>
          <w:tcPr>
            <w:gridSpan w:val="4"/>
            <w:tcW w:w="6758"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r>
      <w:tr>
        <w:trPr>
          <w:cantSplit/>
          <w:trHeight w:val="560"/>
        </w:trPr>
        <w:tc>
          <w:tcPr>
            <w:tcW w:w="2510" w:type="dxa"/>
            <w:vAlign w:val="top"/>
            <w:textDirection w:val="lrTb"/>
            <w:noWrap w:val="false"/>
          </w:tcPr>
          <w:p>
            <w:pPr>
              <w:pStyle w:val="723"/>
              <w:jc w:val="left"/>
              <w:rPr>
                <w:rFonts w:ascii="宋体" w:hAnsi="宋体" w:eastAsia="宋体"/>
                <w:sz w:val="24"/>
                <w:szCs w:val="24"/>
              </w:rPr>
            </w:pPr>
            <w:r>
              <w:rPr>
                <w:rFonts w:hint="eastAsia" w:ascii="宋体" w:hAnsi="宋体" w:eastAsia="宋体"/>
                <w:sz w:val="24"/>
                <w:szCs w:val="24"/>
              </w:rPr>
              <w:t xml:space="preserve">其他需要说明的情况</w:t>
            </w:r>
            <w:r>
              <w:rPr>
                <w:rFonts w:ascii="宋体" w:hAnsi="宋体" w:eastAsia="宋体"/>
                <w:sz w:val="24"/>
                <w:szCs w:val="24"/>
              </w:rPr>
            </w:r>
            <w:r/>
          </w:p>
        </w:tc>
        <w:tc>
          <w:tcPr>
            <w:gridSpan w:val="4"/>
            <w:tcW w:w="6758" w:type="dxa"/>
            <w:vAlign w:val="top"/>
            <w:textDirection w:val="lrTb"/>
            <w:noWrap w:val="false"/>
          </w:tcPr>
          <w:p>
            <w:pPr>
              <w:pStyle w:val="723"/>
              <w:jc w:val="left"/>
              <w:rPr>
                <w:rFonts w:ascii="宋体" w:hAnsi="宋体" w:eastAsia="宋体"/>
                <w:sz w:val="24"/>
                <w:szCs w:val="24"/>
              </w:rPr>
            </w:pPr>
            <w:r>
              <w:rPr>
                <w:rFonts w:ascii="宋体" w:hAnsi="宋体" w:eastAsia="宋体"/>
                <w:sz w:val="24"/>
                <w:szCs w:val="24"/>
              </w:rPr>
            </w:r>
            <w:r/>
          </w:p>
        </w:tc>
      </w:tr>
    </w:tbl>
    <w:p>
      <w:pPr>
        <w:pStyle w:val="723"/>
        <w:spacing w:line="360" w:lineRule="auto"/>
        <w:rPr>
          <w:rFonts w:ascii="宋体" w:hAnsi="宋体" w:eastAsia="宋体"/>
          <w:b/>
          <w:sz w:val="24"/>
          <w:szCs w:val="24"/>
        </w:rPr>
        <w:outlineLvl w:val="2"/>
      </w:pPr>
      <w:r>
        <w:rPr>
          <w:rFonts w:ascii="宋体" w:hAnsi="宋体" w:eastAsia="宋体"/>
          <w:sz w:val="24"/>
          <w:szCs w:val="24"/>
        </w:rPr>
        <w:br w:type="page" w:clear="all"/>
      </w:r>
      <w:r>
        <w:rPr>
          <w:rFonts w:hint="eastAsia" w:ascii="宋体" w:hAnsi="宋体" w:eastAsia="宋体"/>
          <w:b/>
          <w:sz w:val="24"/>
          <w:szCs w:val="24"/>
        </w:rPr>
        <w:t xml:space="preserve">(3)、中小企业声明函</w:t>
      </w:r>
      <w:r>
        <w:rPr>
          <w:rFonts w:ascii="宋体" w:hAnsi="宋体" w:eastAsia="宋体"/>
          <w:b/>
          <w:sz w:val="24"/>
          <w:szCs w:val="24"/>
        </w:rPr>
      </w:r>
      <w:r/>
    </w:p>
    <w:p>
      <w:pPr>
        <w:pStyle w:val="723"/>
        <w:rPr>
          <w:rFonts w:ascii="宋体" w:hAnsi="宋体" w:eastAsia="宋体"/>
          <w:b/>
          <w:sz w:val="24"/>
          <w:szCs w:val="24"/>
        </w:rPr>
      </w:pPr>
      <w:r>
        <w:rPr>
          <w:rFonts w:ascii="宋体" w:hAnsi="宋体" w:eastAsia="宋体"/>
          <w:b/>
          <w:sz w:val="24"/>
          <w:szCs w:val="24"/>
        </w:rPr>
      </w:r>
      <w:r/>
    </w:p>
    <w:p>
      <w:pPr>
        <w:pStyle w:val="723"/>
        <w:jc w:val="center"/>
        <w:spacing w:beforeAutospacing="1" w:afterAutospacing="1" w:line="360" w:lineRule="auto"/>
        <w:widowControl/>
        <w:rPr>
          <w:rFonts w:ascii="宋体" w:hAnsi="宋体" w:eastAsia="宋体" w:cs="宋体"/>
          <w:b/>
          <w:sz w:val="24"/>
          <w:szCs w:val="24"/>
        </w:rPr>
      </w:pPr>
      <w:r>
        <w:rPr>
          <w:rFonts w:hint="eastAsia" w:ascii="宋体" w:hAnsi="宋体" w:eastAsia="宋体" w:cs="宋体"/>
          <w:b/>
          <w:sz w:val="24"/>
          <w:szCs w:val="24"/>
        </w:rPr>
        <w:t xml:space="preserve">中小企业声明函</w:t>
      </w:r>
      <w:r>
        <w:rPr>
          <w:rFonts w:ascii="宋体" w:hAnsi="宋体" w:eastAsia="宋体" w:cs="宋体"/>
          <w:b/>
          <w:sz w:val="24"/>
          <w:szCs w:val="24"/>
        </w:rPr>
      </w:r>
      <w:r/>
    </w:p>
    <w:p>
      <w:pPr>
        <w:pStyle w:val="1020"/>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w:t>
      </w:r>
      <w:r>
        <w:rPr>
          <w:rFonts w:hint="eastAsia" w:hAnsi="宋体" w:eastAsia="宋体" w:cs="宋体"/>
          <w:sz w:val="24"/>
          <w:szCs w:val="24"/>
          <w:lang w:val="zh-CN"/>
        </w:rPr>
        <w:t xml:space="preserve">：</w:t>
      </w:r>
      <w:r>
        <w:rPr>
          <w:rFonts w:hAnsi="宋体" w:eastAsia="宋体" w:cs="宋体"/>
          <w:sz w:val="24"/>
          <w:szCs w:val="24"/>
          <w:lang w:val="zh-CN"/>
        </w:rPr>
      </w:r>
      <w:r/>
    </w:p>
    <w:p>
      <w:pPr>
        <w:pStyle w:val="723"/>
        <w:ind w:firstLine="480"/>
        <w:spacing w:line="360" w:lineRule="auto"/>
        <w:rPr>
          <w:rFonts w:ascii="宋体" w:hAnsi="宋体" w:eastAsia="宋体" w:cs="宋体"/>
          <w:bCs/>
          <w:sz w:val="24"/>
          <w:szCs w:val="24"/>
        </w:rPr>
      </w:pPr>
      <w:r>
        <w:rPr>
          <w:rFonts w:ascii="宋体" w:hAnsi="宋体" w:eastAsia="宋体" w:cs="宋体"/>
          <w:bCs/>
          <w:sz w:val="24"/>
          <w:szCs w:val="24"/>
        </w:rPr>
      </w:r>
      <w:r/>
    </w:p>
    <w:p>
      <w:pPr>
        <w:pStyle w:val="102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本公司郑重声明，根据《政府采购促进中小企业发展管理办法》（财库[2020]46号）的规定，本公司参加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采购活动，服务全部由符合政策要求的中小企业承接。相关企业的具体情况如下：</w:t>
      </w:r>
      <w:r>
        <w:rPr>
          <w:rFonts w:hAnsi="宋体" w:eastAsia="宋体" w:cs="宋体"/>
          <w:sz w:val="24"/>
          <w:szCs w:val="24"/>
          <w:lang w:val="zh-CN"/>
        </w:rPr>
      </w:r>
      <w:r/>
    </w:p>
    <w:p>
      <w:pPr>
        <w:pStyle w:val="102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（招标文件中明确的所属行业）行业</w:t>
      </w:r>
      <w:r>
        <w:rPr>
          <w:rFonts w:hint="eastAsia" w:hAnsi="宋体" w:eastAsia="宋体" w:cs="宋体"/>
          <w:sz w:val="24"/>
          <w:szCs w:val="24"/>
          <w:lang w:val="zh-CN"/>
        </w:rPr>
        <w:t xml:space="preserve">；承接企业为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，从业人员人，营业收入为万元，资产总额为万元，属于（中型企业、小型企业、微型企业）；</w:t>
      </w:r>
      <w:r>
        <w:rPr>
          <w:rFonts w:hAnsi="宋体" w:eastAsia="宋体" w:cs="宋体"/>
          <w:sz w:val="24"/>
          <w:szCs w:val="24"/>
          <w:lang w:val="zh-CN"/>
        </w:rPr>
      </w:r>
      <w:r/>
    </w:p>
    <w:p>
      <w:pPr>
        <w:pStyle w:val="102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（招标文件中明确的所属行业）</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，从业人员人，营业收入为万元，资产总额为万元，属于（中型企业、小型企业、微型企业）；</w:t>
      </w:r>
      <w:r>
        <w:rPr>
          <w:rFonts w:hAnsi="宋体" w:eastAsia="宋体" w:cs="宋体"/>
          <w:sz w:val="24"/>
          <w:szCs w:val="24"/>
          <w:lang w:val="zh-CN"/>
        </w:rPr>
      </w:r>
      <w:r/>
    </w:p>
    <w:p>
      <w:pPr>
        <w:pStyle w:val="102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102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102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723"/>
        <w:ind w:firstLine="480"/>
        <w:spacing w:line="360" w:lineRule="auto"/>
        <w:rPr>
          <w:rFonts w:ascii="宋体" w:hAnsi="宋体" w:eastAsia="宋体" w:cs="宋体"/>
          <w:bCs/>
          <w:sz w:val="24"/>
          <w:szCs w:val="24"/>
        </w:rPr>
      </w:pPr>
      <w:r>
        <w:rPr>
          <w:rFonts w:ascii="宋体" w:hAnsi="宋体" w:eastAsia="宋体" w:cs="宋体"/>
          <w:bCs/>
          <w:sz w:val="24"/>
          <w:szCs w:val="24"/>
        </w:rPr>
      </w:r>
      <w:r/>
    </w:p>
    <w:p>
      <w:pPr>
        <w:pStyle w:val="723"/>
        <w:ind w:firstLine="3600"/>
        <w:jc w:val="right"/>
        <w:spacing w:line="360" w:lineRule="auto"/>
        <w:rPr>
          <w:rFonts w:ascii="宋体" w:hAnsi="宋体" w:eastAsia="宋体" w:cs="宋体"/>
          <w:sz w:val="24"/>
          <w:szCs w:val="24"/>
        </w:rPr>
      </w:pPr>
      <w:r>
        <w:rPr>
          <w:rFonts w:ascii="宋体" w:hAnsi="宋体" w:eastAsia="宋体" w:cs="宋体"/>
          <w:sz w:val="24"/>
          <w:szCs w:val="24"/>
        </w:rPr>
      </w:r>
      <w:r/>
    </w:p>
    <w:p>
      <w:pPr>
        <w:pStyle w:val="723"/>
        <w:ind w:firstLine="3600"/>
        <w:jc w:val="right"/>
        <w:spacing w:line="360" w:lineRule="auto"/>
        <w:rPr>
          <w:rFonts w:ascii="宋体" w:hAnsi="宋体" w:eastAsia="宋体" w:cs="宋体"/>
          <w:sz w:val="24"/>
          <w:szCs w:val="24"/>
        </w:rPr>
      </w:pPr>
      <w:r>
        <w:rPr>
          <w:rFonts w:hint="eastAsia" w:ascii="宋体" w:hAnsi="宋体" w:eastAsia="宋体" w:cs="宋体"/>
          <w:sz w:val="24"/>
          <w:szCs w:val="24"/>
        </w:rPr>
        <w:t xml:space="preserve">企业名称（盖章）： </w:t>
      </w:r>
      <w:r>
        <w:rPr>
          <w:rFonts w:ascii="宋体" w:hAnsi="宋体" w:eastAsia="宋体" w:cs="宋体"/>
          <w:sz w:val="24"/>
          <w:szCs w:val="24"/>
        </w:rPr>
      </w:r>
      <w:r/>
    </w:p>
    <w:p>
      <w:pPr>
        <w:pStyle w:val="723"/>
        <w:ind w:firstLine="3600"/>
        <w:jc w:val="center"/>
        <w:spacing w:line="360" w:lineRule="auto"/>
        <w:rPr>
          <w:rFonts w:ascii="宋体" w:hAnsi="宋体" w:eastAsia="宋体" w:cs="宋体"/>
          <w:sz w:val="24"/>
          <w:szCs w:val="24"/>
        </w:rPr>
      </w:pPr>
      <w:r>
        <w:rPr>
          <w:rFonts w:ascii="宋体" w:hAnsi="宋体" w:eastAsia="宋体" w:cs="宋体"/>
          <w:sz w:val="24"/>
          <w:szCs w:val="24"/>
        </w:rPr>
      </w:r>
      <w:r/>
    </w:p>
    <w:p>
      <w:pPr>
        <w:pStyle w:val="723"/>
        <w:ind w:firstLine="3600"/>
        <w:jc w:val="center"/>
        <w:spacing w:line="360" w:lineRule="auto"/>
        <w:rPr>
          <w:rFonts w:ascii="宋体" w:hAnsi="宋体" w:eastAsia="宋体" w:cs="宋体"/>
          <w:sz w:val="24"/>
          <w:szCs w:val="24"/>
        </w:rPr>
      </w:pPr>
      <w:r>
        <w:rPr>
          <w:rFonts w:hint="eastAsia" w:ascii="宋体" w:hAnsi="宋体" w:eastAsia="宋体" w:cs="宋体"/>
          <w:sz w:val="24"/>
          <w:szCs w:val="24"/>
        </w:rPr>
        <w:t xml:space="preserve">                               日 期： </w:t>
      </w:r>
      <w:r>
        <w:rPr>
          <w:rFonts w:ascii="宋体" w:hAnsi="宋体" w:eastAsia="宋体" w:cs="宋体"/>
          <w:sz w:val="24"/>
          <w:szCs w:val="24"/>
        </w:rPr>
      </w:r>
      <w:r/>
    </w:p>
    <w:p>
      <w:pPr>
        <w:pStyle w:val="723"/>
        <w:jc w:val="left"/>
        <w:widowControl/>
        <w:rPr>
          <w:rFonts w:eastAsia="宋体"/>
          <w:color w:val="000000"/>
          <w:sz w:val="11"/>
          <w:szCs w:val="11"/>
        </w:rPr>
      </w:pPr>
      <w:r>
        <w:rPr>
          <w:rFonts w:eastAsia="宋体"/>
          <w:color w:val="000000"/>
          <w:sz w:val="11"/>
          <w:szCs w:val="11"/>
        </w:rPr>
      </w:r>
      <w:r/>
    </w:p>
    <w:p>
      <w:pPr>
        <w:pStyle w:val="723"/>
        <w:jc w:val="left"/>
        <w:widowControl/>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723"/>
        <w:spacing w:line="360" w:lineRule="auto"/>
        <w:rPr>
          <w:rFonts w:ascii="宋体" w:hAnsi="宋体" w:eastAsia="宋体"/>
          <w:b/>
          <w:sz w:val="24"/>
          <w:szCs w:val="24"/>
        </w:rPr>
        <w:outlineLvl w:val="2"/>
      </w:pPr>
      <w:r>
        <w:rPr>
          <w:rFonts w:hint="eastAsia" w:ascii="宋体" w:hAnsi="宋体" w:eastAsia="宋体"/>
          <w:b/>
          <w:sz w:val="24"/>
          <w:szCs w:val="24"/>
        </w:rPr>
        <w:t xml:space="preserve">(4)、残疾人福利性单位声明函</w:t>
      </w:r>
      <w:r>
        <w:rPr>
          <w:rFonts w:ascii="宋体" w:hAnsi="宋体" w:eastAsia="宋体"/>
          <w:b/>
          <w:sz w:val="24"/>
          <w:szCs w:val="24"/>
        </w:rPr>
      </w:r>
      <w:r/>
    </w:p>
    <w:p>
      <w:pPr>
        <w:pStyle w:val="723"/>
        <w:jc w:val="center"/>
        <w:spacing w:line="360" w:lineRule="auto"/>
        <w:widowControl/>
        <w:rPr>
          <w:rFonts w:ascii="宋体" w:hAnsi="宋体" w:eastAsia="宋体" w:cs="宋体"/>
          <w:sz w:val="24"/>
          <w:szCs w:val="24"/>
        </w:rPr>
      </w:pPr>
      <w:r>
        <w:rPr>
          <w:rFonts w:ascii="宋体" w:hAnsi="宋体" w:eastAsia="宋体" w:cs="宋体"/>
          <w:sz w:val="24"/>
          <w:szCs w:val="24"/>
        </w:rPr>
      </w:r>
      <w:r/>
    </w:p>
    <w:p>
      <w:pPr>
        <w:pStyle w:val="72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残疾人福利性单位声明函</w:t>
      </w:r>
      <w:r>
        <w:rPr>
          <w:rFonts w:ascii="宋体" w:hAnsi="宋体" w:eastAsia="宋体" w:cs="宋体"/>
          <w:sz w:val="24"/>
          <w:szCs w:val="24"/>
        </w:rPr>
      </w:r>
      <w:r/>
    </w:p>
    <w:p>
      <w:pPr>
        <w:pStyle w:val="723"/>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723"/>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sz w:val="24"/>
          <w:szCs w:val="24"/>
        </w:rPr>
      </w:r>
      <w:r/>
    </w:p>
    <w:p>
      <w:pPr>
        <w:pStyle w:val="723"/>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rPr>
          <w:rFonts w:ascii="宋体" w:hAnsi="宋体" w:eastAsia="宋体" w:cs="宋体"/>
          <w:sz w:val="24"/>
          <w:szCs w:val="24"/>
        </w:rPr>
      </w:r>
      <w:r/>
    </w:p>
    <w:p>
      <w:pPr>
        <w:pStyle w:val="723"/>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723"/>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723"/>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单位名称（盖章）：</w:t>
      </w:r>
      <w:r>
        <w:rPr>
          <w:rFonts w:ascii="宋体" w:hAnsi="宋体" w:eastAsia="宋体" w:cs="宋体"/>
          <w:sz w:val="24"/>
          <w:szCs w:val="24"/>
        </w:rPr>
      </w:r>
      <w:r/>
    </w:p>
    <w:p>
      <w:pPr>
        <w:pStyle w:val="723"/>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日 期：</w:t>
      </w:r>
      <w:r>
        <w:rPr>
          <w:rFonts w:ascii="宋体" w:hAnsi="宋体" w:eastAsia="宋体" w:cs="宋体"/>
          <w:sz w:val="24"/>
          <w:szCs w:val="24"/>
        </w:rPr>
      </w:r>
      <w:r/>
    </w:p>
    <w:p>
      <w:pPr>
        <w:pStyle w:val="723"/>
        <w:spacing w:line="360" w:lineRule="auto"/>
        <w:rPr>
          <w:rFonts w:ascii="宋体" w:hAnsi="宋体" w:eastAsia="宋体"/>
          <w:sz w:val="24"/>
          <w:szCs w:val="24"/>
        </w:rPr>
      </w:pPr>
      <w:r>
        <w:rPr>
          <w:rFonts w:ascii="宋体" w:hAnsi="宋体" w:eastAsia="宋体"/>
          <w:sz w:val="24"/>
          <w:szCs w:val="24"/>
        </w:rPr>
      </w:r>
      <w:r/>
    </w:p>
    <w:p>
      <w:pPr>
        <w:pStyle w:val="723"/>
        <w:spacing w:line="360" w:lineRule="auto"/>
        <w:rPr>
          <w:rFonts w:ascii="宋体" w:hAnsi="宋体" w:eastAsia="宋体"/>
          <w:color w:val="000000"/>
          <w:sz w:val="32"/>
          <w:szCs w:val="32"/>
        </w:rPr>
        <w:outlineLvl w:val="2"/>
      </w:pPr>
      <w:r>
        <w:rPr>
          <w:rFonts w:ascii="宋体" w:hAnsi="宋体" w:eastAsia="宋体"/>
          <w:sz w:val="24"/>
          <w:szCs w:val="24"/>
        </w:rPr>
        <w:br w:type="page" w:clear="all"/>
      </w:r>
      <w:r>
        <w:rPr>
          <w:rFonts w:ascii="宋体" w:hAnsi="宋体" w:eastAsia="宋体"/>
          <w:color w:val="000000"/>
          <w:sz w:val="32"/>
          <w:szCs w:val="32"/>
        </w:rPr>
      </w:r>
      <w:r/>
    </w:p>
    <w:p>
      <w:pPr>
        <w:pStyle w:val="748"/>
        <w:ind w:firstLine="0"/>
        <w:jc w:val="both"/>
        <w:rPr>
          <w:rFonts w:ascii="宋体" w:hAnsi="宋体" w:eastAsia="宋体"/>
          <w:color w:val="000000"/>
          <w:sz w:val="32"/>
          <w:szCs w:val="32"/>
        </w:rPr>
      </w:pPr>
      <w:r>
        <w:rPr>
          <w:rFonts w:ascii="宋体" w:hAnsi="宋体" w:eastAsia="宋体"/>
          <w:color w:val="000000"/>
          <w:sz w:val="32"/>
          <w:szCs w:val="32"/>
        </w:rPr>
      </w:r>
      <w:r/>
    </w:p>
    <w:p>
      <w:pPr>
        <w:pStyle w:val="748"/>
        <w:ind w:firstLine="0"/>
        <w:jc w:val="both"/>
        <w:rPr>
          <w:rFonts w:ascii="宋体" w:hAnsi="宋体" w:eastAsia="宋体"/>
          <w:color w:val="000000"/>
          <w:sz w:val="32"/>
          <w:szCs w:val="32"/>
        </w:rPr>
      </w:pPr>
      <w:r>
        <w:rPr>
          <w:rFonts w:ascii="宋体" w:hAnsi="宋体" w:eastAsia="宋体"/>
          <w:color w:val="000000"/>
          <w:sz w:val="32"/>
          <w:szCs w:val="32"/>
        </w:rPr>
      </w:r>
      <w:r/>
    </w:p>
    <w:p>
      <w:pPr>
        <w:pStyle w:val="748"/>
        <w:ind w:firstLine="0"/>
        <w:jc w:val="both"/>
        <w:rPr>
          <w:rFonts w:ascii="宋体" w:hAnsi="宋体" w:eastAsia="宋体"/>
          <w:color w:val="000000"/>
          <w:sz w:val="32"/>
          <w:szCs w:val="32"/>
        </w:rPr>
      </w:pPr>
      <w:r>
        <w:rPr>
          <w:rFonts w:ascii="宋体" w:hAnsi="宋体" w:eastAsia="宋体"/>
          <w:color w:val="000000"/>
          <w:sz w:val="32"/>
          <w:szCs w:val="32"/>
        </w:rPr>
      </w:r>
      <w:r/>
    </w:p>
    <w:p>
      <w:pPr>
        <w:pStyle w:val="748"/>
        <w:ind w:firstLine="0"/>
        <w:jc w:val="both"/>
        <w:rPr>
          <w:rFonts w:ascii="宋体" w:hAnsi="宋体" w:eastAsia="宋体"/>
          <w:color w:val="000000"/>
          <w:sz w:val="32"/>
          <w:szCs w:val="32"/>
        </w:rPr>
      </w:pPr>
      <w:r>
        <w:rPr>
          <w:rFonts w:ascii="宋体" w:hAnsi="宋体" w:eastAsia="宋体"/>
          <w:color w:val="000000"/>
          <w:sz w:val="32"/>
          <w:szCs w:val="32"/>
        </w:rPr>
      </w:r>
      <w:r/>
    </w:p>
    <w:p>
      <w:pPr>
        <w:pStyle w:val="748"/>
        <w:ind w:firstLine="0"/>
        <w:jc w:val="both"/>
        <w:rPr>
          <w:rFonts w:ascii="宋体" w:hAnsi="宋体" w:eastAsia="宋体"/>
          <w:color w:val="000000"/>
          <w:sz w:val="32"/>
          <w:szCs w:val="32"/>
        </w:rPr>
      </w:pPr>
      <w:r>
        <w:rPr>
          <w:rFonts w:ascii="宋体" w:hAnsi="宋体" w:eastAsia="宋体"/>
          <w:color w:val="000000"/>
          <w:sz w:val="32"/>
          <w:szCs w:val="32"/>
        </w:rPr>
      </w:r>
      <w:r/>
    </w:p>
    <w:p>
      <w:pPr>
        <w:pStyle w:val="748"/>
        <w:ind w:firstLine="0"/>
        <w:jc w:val="both"/>
        <w:rPr>
          <w:rFonts w:ascii="宋体" w:hAnsi="宋体" w:eastAsia="宋体"/>
          <w:color w:val="000000"/>
          <w:sz w:val="32"/>
          <w:szCs w:val="32"/>
        </w:rPr>
      </w:pPr>
      <w:r>
        <w:rPr>
          <w:rFonts w:ascii="宋体" w:hAnsi="宋体" w:eastAsia="宋体"/>
          <w:color w:val="000000"/>
          <w:sz w:val="32"/>
          <w:szCs w:val="32"/>
        </w:rPr>
      </w:r>
      <w:r/>
    </w:p>
    <w:p>
      <w:pPr>
        <w:pStyle w:val="748"/>
        <w:ind w:firstLine="0"/>
        <w:jc w:val="both"/>
        <w:rPr>
          <w:rFonts w:ascii="宋体" w:hAnsi="宋体" w:eastAsia="宋体"/>
          <w:color w:val="000000"/>
          <w:sz w:val="32"/>
          <w:szCs w:val="32"/>
        </w:rPr>
      </w:pPr>
      <w:r>
        <w:rPr>
          <w:rFonts w:ascii="宋体" w:hAnsi="宋体" w:eastAsia="宋体"/>
          <w:color w:val="000000"/>
          <w:sz w:val="32"/>
          <w:szCs w:val="32"/>
        </w:rPr>
      </w:r>
      <w:r/>
    </w:p>
    <w:p>
      <w:pPr>
        <w:pStyle w:val="748"/>
        <w:ind w:firstLine="0"/>
        <w:jc w:val="both"/>
        <w:rPr>
          <w:rFonts w:ascii="宋体" w:hAnsi="宋体" w:eastAsia="宋体"/>
          <w:color w:val="000000"/>
          <w:sz w:val="32"/>
          <w:szCs w:val="32"/>
        </w:rPr>
      </w:pPr>
      <w:r>
        <w:rPr>
          <w:rFonts w:ascii="宋体" w:hAnsi="宋体" w:eastAsia="宋体"/>
          <w:color w:val="000000"/>
          <w:sz w:val="32"/>
          <w:szCs w:val="32"/>
        </w:rPr>
      </w:r>
      <w:r/>
    </w:p>
    <w:p>
      <w:pPr>
        <w:pStyle w:val="724"/>
        <w:jc w:val="center"/>
        <w:rPr>
          <w:rFonts w:ascii="宋体" w:hAnsi="宋体" w:eastAsia="宋体"/>
          <w:color w:val="000000"/>
          <w:sz w:val="52"/>
        </w:rPr>
      </w:pPr>
      <w:r/>
      <w:bookmarkStart w:id="7" w:name="_Toc50373298"/>
      <w:r/>
      <w:bookmarkStart w:id="8" w:name="_Toc488137108"/>
      <w:r/>
      <w:bookmarkStart w:id="9" w:name="_Toc13642115"/>
      <w:r>
        <w:rPr>
          <w:rFonts w:hint="eastAsia" w:ascii="宋体" w:hAnsi="宋体" w:eastAsia="宋体"/>
          <w:color w:val="000000"/>
          <w:sz w:val="52"/>
        </w:rPr>
        <w:t xml:space="preserve">第四章 招标书</w:t>
      </w:r>
      <w:bookmarkEnd w:id="7"/>
      <w:r/>
      <w:bookmarkEnd w:id="8"/>
      <w:r/>
      <w:bookmarkEnd w:id="9"/>
      <w:r>
        <w:rPr>
          <w:rFonts w:ascii="宋体" w:hAnsi="宋体" w:eastAsia="宋体"/>
          <w:color w:val="000000"/>
          <w:sz w:val="52"/>
        </w:rPr>
      </w:r>
      <w:r/>
    </w:p>
    <w:p>
      <w:pPr>
        <w:pStyle w:val="723"/>
        <w:jc w:val="center"/>
        <w:spacing w:line="360" w:lineRule="auto"/>
        <w:rPr>
          <w:rFonts w:ascii="宋体" w:hAnsi="宋体" w:eastAsia="宋体"/>
          <w:b/>
          <w:color w:val="000000"/>
          <w:sz w:val="44"/>
          <w:szCs w:val="44"/>
        </w:rPr>
      </w:pPr>
      <w:r/>
      <w:bookmarkStart w:id="10" w:name="_Toc13543212"/>
      <w:r>
        <w:rPr>
          <w:rFonts w:ascii="宋体" w:hAnsi="宋体" w:eastAsia="宋体"/>
          <w:b/>
          <w:color w:val="000000"/>
          <w:sz w:val="44"/>
        </w:rPr>
        <w:br w:type="page" w:clear="all"/>
      </w:r>
      <w:r>
        <w:rPr>
          <w:rFonts w:hint="eastAsia" w:ascii="宋体" w:hAnsi="宋体" w:eastAsia="宋体"/>
          <w:b/>
          <w:color w:val="000000"/>
          <w:sz w:val="44"/>
          <w:szCs w:val="44"/>
        </w:rPr>
        <w:t xml:space="preserve">招标书</w:t>
      </w:r>
      <w:r>
        <w:rPr>
          <w:rFonts w:ascii="宋体" w:hAnsi="宋体" w:eastAsia="宋体"/>
          <w:b/>
          <w:color w:val="000000"/>
          <w:sz w:val="44"/>
          <w:szCs w:val="44"/>
        </w:rPr>
      </w:r>
      <w:r/>
    </w:p>
    <w:p>
      <w:pPr>
        <w:pStyle w:val="723"/>
        <w:ind w:firstLine="480"/>
        <w:spacing w:line="360" w:lineRule="auto"/>
        <w:rPr>
          <w:rFonts w:ascii="宋体" w:hAnsi="宋体" w:eastAsia="宋体"/>
          <w:color w:val="000000"/>
          <w:sz w:val="24"/>
        </w:rPr>
      </w:pPr>
      <w:r/>
      <w:bookmarkEnd w:id="10"/>
      <w:r/>
      <w:bookmarkStart w:id="11" w:name="OLE_LINK1"/>
      <w:r>
        <w:rPr>
          <w:rFonts w:hint="eastAsia" w:ascii="宋体" w:hAnsi="宋体" w:eastAsia="宋体"/>
          <w:color w:val="000000"/>
          <w:sz w:val="24"/>
        </w:rPr>
        <w:t xml:space="preserve">苏州鸿鑫工程咨询有限公司受苏州市公安局的委托，就其所需的苏州市公安局轨道公交分局食堂食材配送服务项目进行公开招标，欢迎有资格的供应商前来参加投标。</w:t>
      </w:r>
      <w:r>
        <w:rPr>
          <w:rFonts w:ascii="宋体" w:hAnsi="宋体" w:eastAsia="宋体"/>
          <w:color w:val="000000"/>
          <w:sz w:val="24"/>
        </w:rPr>
      </w:r>
      <w:r/>
    </w:p>
    <w:p>
      <w:pPr>
        <w:pStyle w:val="723"/>
        <w:ind w:left="480"/>
        <w:spacing w:line="360" w:lineRule="auto"/>
        <w:tabs>
          <w:tab w:val="left" w:pos="360" w:leader="none"/>
          <w:tab w:val="left" w:pos="420" w:leader="none"/>
          <w:tab w:val="left" w:pos="540" w:leader="none"/>
          <w:tab w:val="left" w:pos="720" w:leader="none"/>
        </w:tabs>
        <w:rPr>
          <w:rFonts w:hint="eastAsia" w:ascii="宋体" w:hAnsi="宋体" w:eastAsia="宋体"/>
          <w:sz w:val="24"/>
          <w:szCs w:val="24"/>
        </w:rPr>
      </w:pPr>
      <w:r>
        <w:rPr>
          <w:rFonts w:hint="eastAsia" w:ascii="宋体" w:hAnsi="宋体" w:eastAsia="宋体"/>
          <w:b/>
          <w:bCs/>
          <w:sz w:val="24"/>
          <w:szCs w:val="24"/>
        </w:rPr>
        <w:t xml:space="preserve">一、项目</w:t>
      </w:r>
      <w:r>
        <w:rPr>
          <w:rFonts w:hint="eastAsia" w:ascii="宋体" w:hAnsi="宋体" w:eastAsia="宋体" w:cs="宋体"/>
          <w:b/>
          <w:bCs/>
          <w:sz w:val="24"/>
          <w:szCs w:val="24"/>
        </w:rPr>
        <w:t xml:space="preserve">编号</w:t>
      </w:r>
      <w:r>
        <w:rPr>
          <w:rFonts w:hint="eastAsia" w:ascii="宋体" w:hAnsi="宋体" w:eastAsia="宋体" w:cs="宋体"/>
          <w:sz w:val="24"/>
          <w:szCs w:val="24"/>
        </w:rPr>
        <w:t xml:space="preserve">：</w:t>
      </w:r>
      <w:r>
        <w:rPr>
          <w:rFonts w:hint="eastAsia" w:ascii="宋体" w:hAnsi="宋体" w:eastAsia="宋体" w:cs="宋体"/>
          <w:sz w:val="24"/>
          <w:szCs w:val="24"/>
        </w:rPr>
        <w:t xml:space="preserve">JSZC-320500-SZHX-G2025-0045</w:t>
      </w:r>
      <w:r>
        <w:rPr>
          <w:rFonts w:hint="eastAsia" w:ascii="宋体" w:hAnsi="宋体" w:eastAsia="宋体"/>
          <w:sz w:val="24"/>
          <w:szCs w:val="24"/>
        </w:rPr>
      </w:r>
      <w:r/>
    </w:p>
    <w:p>
      <w:pPr>
        <w:pStyle w:val="723"/>
        <w:ind w:left="480"/>
        <w:spacing w:line="360" w:lineRule="auto"/>
        <w:tabs>
          <w:tab w:val="left" w:pos="360" w:leader="none"/>
          <w:tab w:val="left" w:pos="420" w:leader="none"/>
          <w:tab w:val="left" w:pos="540" w:leader="none"/>
          <w:tab w:val="left" w:pos="720" w:leader="none"/>
          <w:tab w:val="left" w:pos="993" w:leader="none"/>
        </w:tabs>
        <w:rPr>
          <w:rFonts w:hint="eastAsia" w:ascii="宋体" w:hAnsi="宋体" w:eastAsia="宋体"/>
          <w:sz w:val="24"/>
          <w:szCs w:val="24"/>
        </w:rPr>
      </w:pPr>
      <w:r>
        <w:rPr>
          <w:rFonts w:hint="eastAsia" w:ascii="宋体" w:hAnsi="宋体" w:eastAsia="宋体"/>
          <w:b/>
          <w:bCs/>
          <w:sz w:val="24"/>
          <w:szCs w:val="24"/>
        </w:rPr>
        <w:t xml:space="preserve">二、项目名称</w:t>
      </w:r>
      <w:r>
        <w:rPr>
          <w:rFonts w:hint="eastAsia" w:ascii="宋体" w:hAnsi="宋体" w:eastAsia="宋体"/>
          <w:sz w:val="24"/>
          <w:szCs w:val="24"/>
        </w:rPr>
        <w:t xml:space="preserve">：苏州市公安局轨道公交分局食堂食材配送服务</w:t>
      </w:r>
      <w:r/>
    </w:p>
    <w:p>
      <w:pPr>
        <w:pStyle w:val="723"/>
        <w:ind w:left="480"/>
        <w:spacing w:line="360" w:lineRule="auto"/>
        <w:tabs>
          <w:tab w:val="left" w:pos="360" w:leader="none"/>
          <w:tab w:val="left" w:pos="420" w:leader="none"/>
          <w:tab w:val="left" w:pos="540" w:leader="none"/>
          <w:tab w:val="left" w:pos="720" w:leader="none"/>
          <w:tab w:val="left" w:pos="993" w:leader="none"/>
        </w:tabs>
        <w:rPr>
          <w:rFonts w:hint="eastAsia" w:ascii="宋体" w:hAnsi="宋体" w:eastAsia="宋体"/>
          <w:sz w:val="24"/>
          <w:szCs w:val="24"/>
        </w:rPr>
      </w:pPr>
      <w:r>
        <w:rPr>
          <w:rFonts w:hint="eastAsia" w:ascii="宋体" w:hAnsi="宋体" w:eastAsia="宋体"/>
          <w:b/>
          <w:bCs/>
          <w:sz w:val="24"/>
          <w:szCs w:val="24"/>
        </w:rPr>
        <w:t xml:space="preserve">三、预算金额</w:t>
      </w:r>
      <w:r>
        <w:rPr>
          <w:rFonts w:hint="eastAsia" w:ascii="宋体" w:hAnsi="宋体" w:eastAsia="宋体"/>
          <w:sz w:val="24"/>
          <w:szCs w:val="24"/>
        </w:rPr>
        <w:t xml:space="preserve">：</w:t>
      </w:r>
      <w:r>
        <w:rPr>
          <w:rFonts w:hint="eastAsia" w:ascii="宋体" w:hAnsi="宋体" w:eastAsia="宋体" w:cs="宋体"/>
          <w:sz w:val="24"/>
          <w:szCs w:val="24"/>
          <w:shd w:val="clear" w:color="auto" w:fill="ffffff"/>
        </w:rPr>
        <w:t xml:space="preserve">人民币陆佰柒拾伍万捌仟贰佰陆拾柒元伍角贰分（</w:t>
      </w:r>
      <w:r>
        <w:rPr>
          <w:rFonts w:hint="cs" w:ascii="宋体" w:hAnsi="宋体" w:eastAsia="宋体" w:cs="宋体"/>
          <w:sz w:val="24"/>
          <w:szCs w:val="24"/>
          <w:shd w:val="clear" w:color="auto" w:fill="ffffff"/>
          <w:cs/>
        </w:rPr>
        <w:t xml:space="preserve">¥</w:t>
      </w:r>
      <w:r>
        <w:rPr>
          <w:rFonts w:hint="eastAsia" w:ascii="宋体" w:hAnsi="宋体" w:eastAsia="宋体" w:cs="宋体"/>
          <w:sz w:val="24"/>
          <w:szCs w:val="24"/>
          <w:shd w:val="clear" w:color="auto" w:fill="ffffff"/>
        </w:rPr>
        <w:t xml:space="preserve">：6758267.52</w:t>
      </w:r>
      <w:r>
        <w:rPr>
          <w:rFonts w:hint="eastAsia" w:ascii="宋体" w:hAnsi="宋体" w:eastAsia="宋体" w:cs="宋体"/>
          <w:sz w:val="24"/>
          <w:szCs w:val="24"/>
          <w:shd w:val="clear" w:color="auto" w:fill="ffffff"/>
        </w:rPr>
        <w:t xml:space="preserve">元</w:t>
      </w:r>
      <w:r>
        <w:rPr>
          <w:rFonts w:hint="eastAsia" w:ascii="宋体" w:hAnsi="宋体" w:eastAsia="宋体" w:cs="宋体"/>
          <w:sz w:val="24"/>
          <w:szCs w:val="24"/>
          <w:shd w:val="clear" w:color="auto" w:fill="ffffff"/>
        </w:rPr>
        <w:t xml:space="preserve">），（其中：第一标段365.364864万元、第二标段310.461888万元）</w:t>
      </w:r>
      <w:r>
        <w:rPr>
          <w:rFonts w:hint="eastAsia" w:ascii="宋体" w:hAnsi="宋体" w:eastAsia="宋体"/>
          <w:sz w:val="24"/>
          <w:szCs w:val="24"/>
        </w:rPr>
        <w:t xml:space="preserve">。</w:t>
      </w:r>
      <w:r/>
    </w:p>
    <w:p>
      <w:pPr>
        <w:pStyle w:val="723"/>
        <w:ind w:left="480"/>
        <w:spacing w:line="360" w:lineRule="auto"/>
        <w:tabs>
          <w:tab w:val="left" w:pos="360" w:leader="none"/>
          <w:tab w:val="left" w:pos="420" w:leader="none"/>
          <w:tab w:val="left" w:pos="540" w:leader="none"/>
          <w:tab w:val="left" w:pos="720" w:leader="none"/>
          <w:tab w:val="left" w:pos="993" w:leader="none"/>
        </w:tabs>
        <w:rPr>
          <w:rFonts w:hint="eastAsia" w:ascii="宋体" w:hAnsi="宋体" w:eastAsia="宋体" w:cs="宋体"/>
          <w:sz w:val="24"/>
          <w:szCs w:val="24"/>
          <w:shd w:val="clear" w:color="auto" w:fill="ffffff"/>
        </w:rPr>
      </w:pPr>
      <w:r>
        <w:rPr>
          <w:rFonts w:hint="eastAsia" w:ascii="宋体" w:hAnsi="宋体" w:eastAsia="宋体"/>
          <w:b/>
          <w:bCs/>
          <w:sz w:val="24"/>
          <w:szCs w:val="24"/>
        </w:rPr>
        <w:t xml:space="preserve">四、最高限价：</w:t>
      </w:r>
      <w:r>
        <w:rPr>
          <w:rFonts w:hint="eastAsia" w:ascii="宋体" w:hAnsi="宋体" w:eastAsia="宋体" w:cs="宋体"/>
          <w:sz w:val="24"/>
          <w:szCs w:val="24"/>
          <w:shd w:val="clear" w:color="auto" w:fill="ffffff"/>
        </w:rPr>
        <w:t xml:space="preserve">人民币陆佰柒拾伍万捌仟贰佰陆拾柒元伍角贰分（¥：6758267.52</w:t>
      </w:r>
      <w:r>
        <w:rPr>
          <w:rFonts w:hint="eastAsia" w:ascii="宋体" w:hAnsi="宋体" w:eastAsia="宋体" w:cs="宋体"/>
          <w:sz w:val="24"/>
          <w:szCs w:val="24"/>
          <w:shd w:val="clear" w:color="auto" w:fill="ffffff"/>
        </w:rPr>
        <w:t xml:space="preserve">元</w:t>
      </w:r>
      <w:r>
        <w:rPr>
          <w:rFonts w:hint="eastAsia" w:ascii="宋体" w:hAnsi="宋体" w:eastAsia="宋体" w:cs="宋体"/>
          <w:sz w:val="24"/>
          <w:szCs w:val="24"/>
          <w:shd w:val="clear" w:color="auto" w:fill="ffffff"/>
        </w:rPr>
        <w:t xml:space="preserve">），（其中：第一标段365.364864万元、第二标段310.461888万元）。</w:t>
      </w:r>
      <w:r/>
    </w:p>
    <w:p>
      <w:pPr>
        <w:pStyle w:val="723"/>
        <w:ind w:firstLine="482"/>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b/>
          <w:bCs/>
          <w:sz w:val="24"/>
          <w:szCs w:val="24"/>
        </w:rPr>
        <w:t xml:space="preserve">五、服务期限：自服务开始之日起一年</w:t>
      </w:r>
      <w:r>
        <w:rPr>
          <w:rFonts w:hint="eastAsia" w:ascii="宋体" w:hAnsi="宋体" w:eastAsia="宋体"/>
          <w:b/>
          <w:bCs/>
          <w:sz w:val="24"/>
          <w:szCs w:val="24"/>
        </w:rPr>
        <w:t xml:space="preserve">（</w:t>
      </w:r>
      <w:r>
        <w:rPr>
          <w:rFonts w:hint="eastAsia" w:ascii="宋体" w:hAnsi="宋体" w:eastAsia="宋体"/>
          <w:b/>
          <w:bCs/>
          <w:sz w:val="24"/>
          <w:szCs w:val="24"/>
        </w:rPr>
        <w:t xml:space="preserve">具体开始时间以采购方通知为准。每个标段的结算金额达到预算金额总价或合同履行期限到期，本标段自动终止。</w:t>
      </w:r>
      <w:r>
        <w:rPr>
          <w:rFonts w:hint="eastAsia" w:ascii="宋体" w:hAnsi="宋体" w:eastAsia="宋体"/>
          <w:b/>
          <w:bCs/>
          <w:sz w:val="24"/>
          <w:szCs w:val="24"/>
        </w:rPr>
        <w:t xml:space="preserve">）</w:t>
      </w:r>
      <w:r>
        <w:rPr>
          <w:rFonts w:ascii="宋体" w:hAnsi="宋体" w:eastAsia="宋体"/>
          <w:sz w:val="24"/>
          <w:szCs w:val="24"/>
        </w:rPr>
      </w:r>
      <w:r/>
    </w:p>
    <w:p>
      <w:pPr>
        <w:pStyle w:val="723"/>
        <w:ind w:left="480"/>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b/>
          <w:bCs/>
          <w:sz w:val="24"/>
          <w:szCs w:val="24"/>
        </w:rPr>
        <w:t xml:space="preserve">六、采购内容</w:t>
      </w:r>
      <w:r>
        <w:rPr>
          <w:rFonts w:hint="eastAsia" w:ascii="宋体" w:hAnsi="宋体" w:eastAsia="宋体"/>
          <w:sz w:val="24"/>
          <w:szCs w:val="24"/>
        </w:rPr>
        <w:t xml:space="preserve">： </w:t>
      </w:r>
      <w:r>
        <w:rPr>
          <w:rFonts w:ascii="宋体" w:hAnsi="宋体" w:eastAsia="宋体"/>
          <w:sz w:val="24"/>
          <w:szCs w:val="24"/>
        </w:rPr>
      </w:r>
      <w:r/>
    </w:p>
    <w:p>
      <w:pPr>
        <w:pStyle w:val="723"/>
        <w:ind w:firstLine="420"/>
        <w:spacing w:after="120" w:line="400" w:lineRule="exact"/>
        <w:widowControl/>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1、采购范围：包括但不限于肉类（冰鲜/生鲜）、水产、冷冻品粮、油米面类、干货调料类、蛋奶类、果蔬类。</w:t>
      </w:r>
      <w:r/>
    </w:p>
    <w:p>
      <w:pPr>
        <w:pStyle w:val="723"/>
        <w:ind w:firstLine="420"/>
        <w:spacing w:after="120" w:line="400" w:lineRule="exact"/>
        <w:widowControl/>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2、采购内容：</w:t>
      </w:r>
      <w:r/>
    </w:p>
    <w:tbl>
      <w:tblPr>
        <w:tblW w:w="546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2422"/>
        <w:gridCol w:w="1538"/>
        <w:gridCol w:w="5132"/>
      </w:tblGrid>
      <w:tr>
        <w:trPr>
          <w:trHeight w:val="870"/>
        </w:trPr>
        <w:tc>
          <w:tcPr>
            <w:tcW w:w="501"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标段号</w:t>
            </w:r>
            <w:r/>
          </w:p>
        </w:tc>
        <w:tc>
          <w:tcPr>
            <w:tcW w:w="1198"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采购内容</w:t>
            </w:r>
            <w:r/>
          </w:p>
        </w:tc>
        <w:tc>
          <w:tcPr>
            <w:tcW w:w="761"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预算金额（万元）</w:t>
            </w:r>
            <w:r/>
          </w:p>
        </w:tc>
        <w:tc>
          <w:tcPr>
            <w:tcW w:w="2538"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配送点位</w:t>
            </w:r>
            <w:r/>
          </w:p>
        </w:tc>
      </w:tr>
      <w:tr>
        <w:trPr>
          <w:trHeight w:val="1300"/>
        </w:trPr>
        <w:tc>
          <w:tcPr>
            <w:tcW w:w="501"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p>
        </w:tc>
        <w:tc>
          <w:tcPr>
            <w:tcW w:w="1198"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轨道公交分局中环以内范围食堂食材配送</w:t>
            </w:r>
            <w:r/>
          </w:p>
        </w:tc>
        <w:tc>
          <w:tcPr>
            <w:tcW w:w="761" w:type="pct"/>
            <w:vAlign w:val="center"/>
            <w:textDirection w:val="lrTb"/>
            <w:noWrap w:val="false"/>
          </w:tcPr>
          <w:p>
            <w:pPr>
              <w:pStyle w:val="72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365</w:t>
            </w:r>
            <w:r>
              <w:rPr>
                <w:rFonts w:hint="eastAsia" w:ascii="宋体" w:hAnsi="宋体" w:cs="宋体"/>
                <w:color w:val="000000"/>
                <w:sz w:val="24"/>
                <w:szCs w:val="24"/>
                <w:lang w:bidi="ar"/>
              </w:rPr>
              <w:t xml:space="preserve">.</w:t>
            </w:r>
            <w:r>
              <w:rPr>
                <w:rFonts w:hint="eastAsia" w:ascii="宋体" w:hAnsi="宋体" w:eastAsia="宋体" w:cs="宋体"/>
                <w:color w:val="000000"/>
                <w:sz w:val="24"/>
                <w:szCs w:val="24"/>
                <w:lang w:bidi="ar"/>
              </w:rPr>
              <w:t xml:space="preserve">364864</w:t>
            </w:r>
            <w:r>
              <w:rPr>
                <w:rFonts w:hint="eastAsia" w:ascii="宋体" w:hAnsi="宋体" w:eastAsia="宋体" w:cs="宋体"/>
                <w:color w:val="000000"/>
                <w:sz w:val="24"/>
                <w:szCs w:val="24"/>
              </w:rPr>
            </w:r>
            <w:r/>
          </w:p>
        </w:tc>
        <w:tc>
          <w:tcPr>
            <w:tcW w:w="2538" w:type="pct"/>
            <w:vAlign w:val="center"/>
            <w:textDirection w:val="lrTb"/>
            <w:noWrap w:val="false"/>
          </w:tcPr>
          <w:p>
            <w:pPr>
              <w:pStyle w:val="723"/>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火车站站派出所、星塘街站派出所、阳澄湖中路站派出所、庞金路站派出所、戈巷街站派出所、桑田岛站派出所、广济南路站派出所</w:t>
            </w:r>
            <w:r>
              <w:rPr>
                <w:rFonts w:hint="eastAsia" w:ascii="宋体" w:hAnsi="宋体" w:eastAsia="宋体" w:cs="宋体"/>
                <w:color w:val="000000"/>
                <w:sz w:val="24"/>
                <w:szCs w:val="24"/>
                <w:lang w:bidi="ar"/>
              </w:rPr>
            </w:r>
            <w:r/>
          </w:p>
        </w:tc>
      </w:tr>
      <w:tr>
        <w:trPr>
          <w:trHeight w:val="567"/>
        </w:trPr>
        <w:tc>
          <w:tcPr>
            <w:tcW w:w="501"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p>
        </w:tc>
        <w:tc>
          <w:tcPr>
            <w:tcW w:w="1198"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轨道公交分局中环以外范围食堂食材配送</w:t>
            </w:r>
            <w:r/>
          </w:p>
        </w:tc>
        <w:tc>
          <w:tcPr>
            <w:tcW w:w="761"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310</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461888</w:t>
            </w:r>
            <w:r/>
          </w:p>
        </w:tc>
        <w:tc>
          <w:tcPr>
            <w:tcW w:w="2538" w:type="pct"/>
            <w:vAlign w:val="center"/>
            <w:textDirection w:val="lrTb"/>
            <w:noWrap w:val="false"/>
          </w:tcPr>
          <w:p>
            <w:pPr>
              <w:pStyle w:val="72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分局大楼、巡特警大队、石湖路站派出所、刑侦大队办案中心、花墩站派出所、惠昌路站派出所、石湖莫舍站派出所</w:t>
            </w:r>
            <w:r/>
          </w:p>
        </w:tc>
      </w:tr>
    </w:tbl>
    <w:p>
      <w:pPr>
        <w:pStyle w:val="723"/>
        <w:ind w:firstLine="420"/>
        <w:spacing w:line="40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注：（1）允许一个投标单位报名多个标段，但一个投标单位最多只能就其中一个标段中标，开评标顺序依次为第一标段、第二标段。每个标段中标单位为一名，按先开先中的原则，确定投标单位的中标标段。已中标的投标单位在后面的标段中失去得标权，不再参与后续标段的评审。</w:t>
      </w:r>
      <w:r>
        <w:rPr>
          <w:rFonts w:hint="eastAsia" w:ascii="宋体" w:hAnsi="宋体" w:eastAsia="宋体" w:cs="宋体"/>
          <w:sz w:val="24"/>
          <w:szCs w:val="24"/>
        </w:rPr>
      </w:r>
      <w:r/>
    </w:p>
    <w:p>
      <w:pPr>
        <w:pStyle w:val="723"/>
        <w:ind w:firstLine="480"/>
        <w:spacing w:after="120" w:line="400" w:lineRule="exact"/>
        <w:widowControl/>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3、采购清单</w:t>
      </w:r>
      <w:r/>
    </w:p>
    <w:tbl>
      <w:tblPr>
        <w:tblpPr w:horzAnchor="page" w:tblpX="1890" w:vertAnchor="text" w:tblpY="318" w:leftFromText="180" w:topFromText="0" w:rightFromText="180" w:bottomFromText="0"/>
        <w:tblW w:w="8790" w:type="dxa"/>
        <w:tblInd w:w="0" w:type="dxa"/>
        <w:tblLayout w:type="fixed"/>
        <w:tblCellMar>
          <w:left w:w="108" w:type="dxa"/>
          <w:top w:w="0" w:type="dxa"/>
          <w:right w:w="108" w:type="dxa"/>
          <w:bottom w:w="0" w:type="dxa"/>
        </w:tblCellMar>
        <w:tblLook w:val="04A0" w:firstRow="1" w:lastRow="0" w:firstColumn="1" w:lastColumn="0" w:noHBand="0" w:noVBand="1"/>
      </w:tblPr>
      <w:tblGrid>
        <w:gridCol w:w="25"/>
        <w:gridCol w:w="484"/>
        <w:gridCol w:w="150"/>
        <w:gridCol w:w="27"/>
        <w:gridCol w:w="22"/>
        <w:gridCol w:w="1554"/>
        <w:gridCol w:w="132"/>
        <w:gridCol w:w="27"/>
        <w:gridCol w:w="139"/>
        <w:gridCol w:w="14"/>
        <w:gridCol w:w="27"/>
        <w:gridCol w:w="461"/>
        <w:gridCol w:w="36"/>
        <w:gridCol w:w="11"/>
        <w:gridCol w:w="70"/>
        <w:gridCol w:w="30"/>
        <w:gridCol w:w="911"/>
        <w:gridCol w:w="85"/>
        <w:gridCol w:w="19"/>
        <w:gridCol w:w="10"/>
        <w:gridCol w:w="177"/>
        <w:gridCol w:w="326"/>
        <w:gridCol w:w="11"/>
        <w:gridCol w:w="297"/>
        <w:gridCol w:w="61"/>
        <w:gridCol w:w="1380"/>
        <w:gridCol w:w="245"/>
        <w:gridCol w:w="64"/>
        <w:gridCol w:w="8"/>
        <w:gridCol w:w="15"/>
        <w:gridCol w:w="387"/>
        <w:gridCol w:w="215"/>
        <w:gridCol w:w="36"/>
        <w:gridCol w:w="7"/>
        <w:gridCol w:w="16"/>
        <w:gridCol w:w="1068"/>
        <w:gridCol w:w="212"/>
        <w:gridCol w:w="31"/>
      </w:tblGrid>
      <w:tr>
        <w:trPr>
          <w:trHeight w:val="315"/>
        </w:trPr>
        <w:tc>
          <w:tcPr>
            <w:gridSpan w:val="38"/>
            <w:tcBorders>
              <w:top w:val="single" w:color="000000" w:sz="8" w:space="0"/>
              <w:left w:val="single" w:color="000000" w:sz="8" w:space="0"/>
              <w:bottom w:val="single" w:color="000000" w:sz="8" w:space="0"/>
              <w:right w:val="single" w:color="000000" w:sz="8" w:space="0"/>
            </w:tcBorders>
            <w:tcW w:w="8790"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禽肉类</w:t>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序号</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品名</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单位</w:t>
            </w:r>
            <w:r/>
          </w:p>
        </w:tc>
        <w:tc>
          <w:tcPr>
            <w:gridSpan w:val="4"/>
            <w:shd w:val="clear" w:color="auto" w:fill="ffffff"/>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备注</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序号</w:t>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品名</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单位</w:t>
            </w:r>
            <w:r/>
          </w:p>
        </w:tc>
        <w:tc>
          <w:tcPr>
            <w:gridSpan w:val="6"/>
            <w:shd w:val="clear" w:color="auto" w:fill="ffffff"/>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备注</w:t>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仔排</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22</w:t>
            </w:r>
            <w:r/>
          </w:p>
        </w:tc>
        <w:tc>
          <w:tcPr>
            <w:gridSpan w:val="5"/>
            <w:shd w:val="clear" w:color="auto" w:fill="ffffff"/>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羊前腿肉</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大排/排条</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23</w:t>
            </w:r>
            <w:r/>
          </w:p>
        </w:tc>
        <w:tc>
          <w:tcPr>
            <w:gridSpan w:val="5"/>
            <w:shd w:val="clear" w:color="auto" w:fill="ffffff"/>
            <w:tcBorders>
              <w:top w:val="none" w:color="000000" w:sz="4" w:space="0"/>
              <w:left w:val="none" w:color="000000" w:sz="4" w:space="0"/>
              <w:bottom w:val="none" w:color="000000" w:sz="4"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羊后腿肉</w:t>
            </w:r>
            <w:r/>
          </w:p>
        </w:tc>
        <w:tc>
          <w:tcPr>
            <w:gridSpan w:val="5"/>
            <w:tcBorders>
              <w:top w:val="none" w:color="000000" w:sz="4" w:space="0"/>
              <w:left w:val="none" w:color="000000" w:sz="4" w:space="0"/>
              <w:bottom w:val="none" w:color="000000" w:sz="4"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52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小排</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24</w:t>
            </w:r>
            <w:r/>
          </w:p>
        </w:tc>
        <w:tc>
          <w:tcPr>
            <w:gridSpan w:val="5"/>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咸肉（带皮夹心）</w:t>
            </w:r>
            <w:r/>
          </w:p>
        </w:tc>
        <w:tc>
          <w:tcPr>
            <w:gridSpan w:val="5"/>
            <w:tcBorders>
              <w:top w:val="single" w:color="000000" w:sz="8"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520"/>
        </w:trPr>
        <w:tc>
          <w:tcPr>
            <w:gridSpan w:val="3"/>
            <w:tcBorders>
              <w:top w:val="none" w:color="000000" w:sz="4" w:space="0"/>
              <w:left w:val="single" w:color="000000" w:sz="8" w:space="0"/>
              <w:bottom w:val="none" w:color="000000" w:sz="4"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w:t>
            </w:r>
            <w:r/>
          </w:p>
        </w:tc>
        <w:tc>
          <w:tcPr>
            <w:gridSpan w:val="6"/>
            <w:tcBorders>
              <w:top w:val="none" w:color="000000" w:sz="4" w:space="0"/>
              <w:left w:val="none" w:color="000000" w:sz="4" w:space="0"/>
              <w:bottom w:val="none" w:color="000000" w:sz="4"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纯精肉（丝/片/丁）</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25</w:t>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咸肉（带皮五花肉）</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300"/>
        </w:trPr>
        <w:tc>
          <w:tcPr>
            <w:gridSpan w:val="3"/>
            <w:tcBorders>
              <w:top w:val="single" w:color="000000" w:sz="8"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w:t>
            </w:r>
            <w:r/>
          </w:p>
        </w:tc>
        <w:tc>
          <w:tcPr>
            <w:gridSpan w:val="6"/>
            <w:tcBorders>
              <w:top w:val="single" w:color="000000" w:sz="8"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去皮夹心</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26</w:t>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德蹄</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52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方肉（切块）</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27</w:t>
            </w:r>
            <w:r/>
          </w:p>
        </w:tc>
        <w:tc>
          <w:tcPr>
            <w:gridSpan w:val="5"/>
            <w:tcBorders>
              <w:top w:val="none" w:color="000000" w:sz="4" w:space="0"/>
              <w:left w:val="none" w:color="000000" w:sz="4" w:space="0"/>
              <w:bottom w:val="none" w:color="000000" w:sz="4"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三黄鸡</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52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方肉（带骨）</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28</w:t>
            </w:r>
            <w:r/>
          </w:p>
        </w:tc>
        <w:tc>
          <w:tcPr>
            <w:gridSpan w:val="5"/>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草鸡</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猪肝片</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29</w:t>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童子鸡</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猪心片</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30</w:t>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老母鸡</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猪爪</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31</w:t>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白鸭</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排条</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32</w:t>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老鸭</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12</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筒子骨</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33</w:t>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新鹅</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13</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普通汤骨</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34</w:t>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老鹅</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14</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猪肚</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35</w:t>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鸽子</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只</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15</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猪腰</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36</w:t>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鸡油</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16</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板油</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37</w:t>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咸鸡</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52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17</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肥膘（去皮肥肉）</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38</w:t>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风鹅</w:t>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只</w:t>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18</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牛腱子</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19</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牛腩</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20</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牛柳</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300"/>
        </w:trPr>
        <w:tc>
          <w:tcPr>
            <w:gridSpan w:val="3"/>
            <w:tcBorders>
              <w:top w:val="none" w:color="000000" w:sz="4" w:space="0"/>
              <w:left w:val="single" w:color="000000" w:sz="8" w:space="0"/>
              <w:bottom w:val="single" w:color="000000" w:sz="8" w:space="0"/>
              <w:right w:val="single" w:color="000000" w:sz="8" w:space="0"/>
            </w:tcBorders>
            <w:tcW w:w="65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21</w:t>
            </w:r>
            <w:r/>
          </w:p>
        </w:tc>
        <w:tc>
          <w:tcPr>
            <w:gridSpan w:val="6"/>
            <w:tcBorders>
              <w:top w:val="none" w:color="000000" w:sz="4" w:space="0"/>
              <w:left w:val="none" w:color="000000" w:sz="4" w:space="0"/>
              <w:bottom w:val="single" w:color="000000" w:sz="8" w:space="0"/>
              <w:right w:val="single" w:color="000000" w:sz="8" w:space="0"/>
            </w:tcBorders>
            <w:tcW w:w="190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牛仔骨</w:t>
            </w:r>
            <w:r/>
          </w:p>
        </w:tc>
        <w:tc>
          <w:tcPr>
            <w:gridSpan w:val="4"/>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6"/>
            <w:tcBorders>
              <w:top w:val="none" w:color="000000" w:sz="4" w:space="0"/>
              <w:left w:val="none" w:color="000000" w:sz="4" w:space="0"/>
              <w:bottom w:val="single" w:color="000000" w:sz="8" w:space="0"/>
              <w:right w:val="single" w:color="000000" w:sz="8" w:space="0"/>
            </w:tcBorders>
            <w:tcW w:w="137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trHeight w:val="525"/>
        </w:trPr>
        <w:tc>
          <w:tcPr>
            <w:gridSpan w:val="38"/>
            <w:tcBorders>
              <w:top w:val="none" w:color="000000" w:sz="4" w:space="0"/>
              <w:left w:val="single" w:color="000000" w:sz="8" w:space="0"/>
              <w:bottom w:val="single" w:color="000000" w:sz="8" w:space="0"/>
              <w:right w:val="single" w:color="000000" w:sz="8" w:space="0"/>
            </w:tcBorders>
            <w:tcW w:w="879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sz w:val="24"/>
                <w:szCs w:val="24"/>
              </w:rPr>
              <w:t xml:space="preserve">注：鸡鸭鹅需要去头去屁股、净膛；鸽子需净膛。所有肉类禁止供应冷冻产品，均需配送生鲜及冰鲜产品，并按约货要求规格进行配送。</w:t>
            </w:r>
            <w:r>
              <w:rPr>
                <w:rFonts w:ascii="宋体" w:hAnsi="宋体" w:eastAsia="宋体" w:cs="宋体"/>
                <w:b w:val="0"/>
                <w:bCs w:val="0"/>
                <w:sz w:val="24"/>
                <w:szCs w:val="24"/>
              </w:rPr>
            </w:r>
            <w:r/>
          </w:p>
        </w:tc>
      </w:tr>
      <w:tr>
        <w:trPr>
          <w:trHeight w:val="300"/>
        </w:trPr>
        <w:tc>
          <w:tcPr>
            <w:gridSpan w:val="38"/>
            <w:tcBorders>
              <w:top w:val="single" w:color="000000" w:sz="8" w:space="0"/>
              <w:left w:val="single" w:color="000000" w:sz="8" w:space="0"/>
              <w:bottom w:val="single" w:color="000000" w:sz="8" w:space="0"/>
              <w:right w:val="single" w:color="000000" w:sz="8" w:space="0"/>
            </w:tcBorders>
            <w:tcW w:w="8790"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水  产  类</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序号</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品名</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单位</w:t>
            </w:r>
            <w:r/>
          </w:p>
        </w:tc>
        <w:tc>
          <w:tcPr>
            <w:gridSpan w:val="5"/>
            <w:shd w:val="clear" w:color="auto" w:fill="ffffff"/>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备注</w:t>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序号</w:t>
            </w:r>
            <w:r/>
          </w:p>
        </w:tc>
        <w:tc>
          <w:tcPr>
            <w:gridSpan w:val="3"/>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品名</w:t>
            </w:r>
            <w:r/>
          </w:p>
        </w:tc>
        <w:tc>
          <w:tcPr>
            <w:gridSpan w:val="5"/>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单位</w:t>
            </w:r>
            <w:r/>
          </w:p>
        </w:tc>
        <w:tc>
          <w:tcPr>
            <w:gridSpan w:val="7"/>
            <w:shd w:val="clear" w:color="auto" w:fill="ffffff"/>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备注</w:t>
            </w:r>
            <w:r/>
          </w:p>
        </w:tc>
      </w:tr>
      <w:tr>
        <w:trPr>
          <w:trHeight w:val="54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草鱼5斤以下</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28</w:t>
            </w:r>
            <w:r/>
          </w:p>
        </w:tc>
        <w:tc>
          <w:tcPr>
            <w:gridSpan w:val="3"/>
            <w:tcBorders>
              <w:top w:val="none" w:color="000000" w:sz="4" w:space="0"/>
              <w:left w:val="none" w:color="000000" w:sz="4" w:space="0"/>
              <w:bottom w:val="single" w:color="000000" w:sz="8" w:space="0"/>
              <w:right w:val="single" w:color="000000" w:sz="8" w:space="0"/>
            </w:tcBorders>
            <w:tcW w:w="173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河虾</w:t>
            </w:r>
            <w:r/>
          </w:p>
        </w:tc>
        <w:tc>
          <w:tcPr>
            <w:gridSpan w:val="5"/>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≤100只/斤</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草鱼5~6斤</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29</w:t>
            </w:r>
            <w:r/>
          </w:p>
        </w:tc>
        <w:tc>
          <w:tcPr>
            <w:gridSpan w:val="3"/>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河虾</w:t>
            </w:r>
            <w:r/>
          </w:p>
        </w:tc>
        <w:tc>
          <w:tcPr>
            <w:gridSpan w:val="5"/>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≤80只/斤</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草鱼7~8斤</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30</w:t>
            </w:r>
            <w:r/>
          </w:p>
        </w:tc>
        <w:tc>
          <w:tcPr>
            <w:gridSpan w:val="3"/>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草虾</w:t>
            </w:r>
            <w:r/>
          </w:p>
        </w:tc>
        <w:tc>
          <w:tcPr>
            <w:gridSpan w:val="5"/>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≤65只/斤</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草鱼8~9斤</w:t>
            </w:r>
            <w:r/>
          </w:p>
        </w:tc>
        <w:tc>
          <w:tcPr>
            <w:gridSpan w:val="8"/>
            <w:tcBorders>
              <w:top w:val="none" w:color="000000" w:sz="4" w:space="0"/>
              <w:left w:val="none" w:color="000000" w:sz="4" w:space="0"/>
              <w:bottom w:val="single" w:color="000000" w:sz="8" w:space="0"/>
              <w:right w:val="single" w:color="000000" w:sz="8" w:space="0"/>
            </w:tcBorders>
            <w:tcW w:w="847"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31</w:t>
            </w:r>
            <w:r/>
          </w:p>
        </w:tc>
        <w:tc>
          <w:tcPr>
            <w:gridSpan w:val="3"/>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草虾</w:t>
            </w:r>
            <w:r/>
          </w:p>
        </w:tc>
        <w:tc>
          <w:tcPr>
            <w:gridSpan w:val="5"/>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≤45只/斤</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鳊鱼1.5斤</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32</w:t>
            </w:r>
            <w:r/>
          </w:p>
        </w:tc>
        <w:tc>
          <w:tcPr>
            <w:gridSpan w:val="3"/>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白虾</w:t>
            </w:r>
            <w:r/>
          </w:p>
        </w:tc>
        <w:tc>
          <w:tcPr>
            <w:gridSpan w:val="5"/>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≤100只/斤</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白鱼1.5斤</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33</w:t>
            </w:r>
            <w:r/>
          </w:p>
        </w:tc>
        <w:tc>
          <w:tcPr>
            <w:gridSpan w:val="3"/>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牛蛙</w:t>
            </w:r>
            <w:r/>
          </w:p>
        </w:tc>
        <w:tc>
          <w:tcPr>
            <w:gridSpan w:val="5"/>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黑鱼2斤</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34</w:t>
            </w:r>
            <w:r/>
          </w:p>
        </w:tc>
        <w:tc>
          <w:tcPr>
            <w:gridSpan w:val="3"/>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螺蛳</w:t>
            </w:r>
            <w:r/>
          </w:p>
        </w:tc>
        <w:tc>
          <w:tcPr>
            <w:gridSpan w:val="5"/>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不剪的</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黑鱼4斤</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35</w:t>
            </w:r>
            <w:r/>
          </w:p>
        </w:tc>
        <w:tc>
          <w:tcPr>
            <w:gridSpan w:val="3"/>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螺蛳</w:t>
            </w:r>
            <w:r/>
          </w:p>
        </w:tc>
        <w:tc>
          <w:tcPr>
            <w:gridSpan w:val="5"/>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剪好的</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桂鱼1.5斤</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36</w:t>
            </w:r>
            <w:r/>
          </w:p>
        </w:tc>
        <w:tc>
          <w:tcPr>
            <w:gridSpan w:val="3"/>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河鳗1.5斤</w:t>
            </w:r>
            <w:r/>
          </w:p>
        </w:tc>
        <w:tc>
          <w:tcPr>
            <w:gridSpan w:val="5"/>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54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桂鱼2~2.5斤</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37</w:t>
            </w:r>
            <w:r/>
          </w:p>
        </w:tc>
        <w:tc>
          <w:tcPr>
            <w:gridSpan w:val="3"/>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中鲫鱼</w:t>
            </w:r>
            <w:r/>
          </w:p>
        </w:tc>
        <w:tc>
          <w:tcPr>
            <w:gridSpan w:val="5"/>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≥6两一条</w:t>
            </w:r>
            <w:r/>
          </w:p>
        </w:tc>
      </w:tr>
      <w:tr>
        <w:trPr>
          <w:trHeight w:val="54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昂刺鱼0.3斤</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38</w:t>
            </w:r>
            <w:r/>
          </w:p>
        </w:tc>
        <w:tc>
          <w:tcPr>
            <w:gridSpan w:val="3"/>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小鲫鱼</w:t>
            </w:r>
            <w:r/>
          </w:p>
        </w:tc>
        <w:tc>
          <w:tcPr>
            <w:gridSpan w:val="5"/>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≥4两一条</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12</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黄鱼0.8斤</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39</w:t>
            </w:r>
            <w:r/>
          </w:p>
        </w:tc>
        <w:tc>
          <w:tcPr>
            <w:gridSpan w:val="3"/>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螺蛳肉</w:t>
            </w:r>
            <w:r/>
          </w:p>
        </w:tc>
        <w:tc>
          <w:tcPr>
            <w:gridSpan w:val="5"/>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13</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鲈鱼1.3斤</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40</w:t>
            </w:r>
            <w:r/>
          </w:p>
        </w:tc>
        <w:tc>
          <w:tcPr>
            <w:gridSpan w:val="3"/>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毛蟹</w:t>
            </w:r>
            <w:r/>
          </w:p>
        </w:tc>
        <w:tc>
          <w:tcPr>
            <w:gridSpan w:val="5"/>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≥2两</w:t>
            </w:r>
            <w:r/>
          </w:p>
        </w:tc>
      </w:tr>
      <w:tr>
        <w:trPr>
          <w:trHeight w:val="54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14</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花鲢鱼头4斤</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41</w:t>
            </w:r>
            <w:r/>
          </w:p>
        </w:tc>
        <w:tc>
          <w:tcPr>
            <w:gridSpan w:val="3"/>
            <w:shd w:val="clear" w:color="auto" w:fill="ffffff"/>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海带丝</w:t>
            </w:r>
            <w:r/>
          </w:p>
        </w:tc>
        <w:tc>
          <w:tcPr>
            <w:gridSpan w:val="5"/>
            <w:tcBorders>
              <w:top w:val="none" w:color="000000" w:sz="4" w:space="0"/>
              <w:left w:val="none" w:color="000000" w:sz="4" w:space="0"/>
              <w:bottom w:val="single" w:color="000000" w:sz="8" w:space="0"/>
              <w:right w:val="single" w:color="000000" w:sz="8" w:space="0"/>
            </w:tcBorders>
            <w:tcW w:w="719"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54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15</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花鲢鱼头2斤</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42</w:t>
            </w:r>
            <w:r/>
          </w:p>
        </w:tc>
        <w:tc>
          <w:tcPr>
            <w:gridSpan w:val="3"/>
            <w:shd w:val="clear" w:color="auto" w:fill="ffffff"/>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海蜇丝</w:t>
            </w:r>
            <w:r/>
          </w:p>
        </w:tc>
        <w:tc>
          <w:tcPr>
            <w:gridSpan w:val="5"/>
            <w:tcBorders>
              <w:top w:val="none" w:color="000000" w:sz="4" w:space="0"/>
              <w:left w:val="none" w:color="000000" w:sz="4" w:space="0"/>
              <w:bottom w:val="single" w:color="000000" w:sz="8" w:space="0"/>
              <w:right w:val="single" w:color="000000" w:sz="8" w:space="0"/>
            </w:tcBorders>
            <w:tcW w:w="719"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人造</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16</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草鱼头</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43</w:t>
            </w:r>
            <w:r/>
          </w:p>
        </w:tc>
        <w:tc>
          <w:tcPr>
            <w:gridSpan w:val="3"/>
            <w:shd w:val="clear" w:color="auto" w:fill="ffffff"/>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海带结</w:t>
            </w:r>
            <w:r/>
          </w:p>
        </w:tc>
        <w:tc>
          <w:tcPr>
            <w:gridSpan w:val="5"/>
            <w:tcBorders>
              <w:top w:val="none" w:color="000000" w:sz="4" w:space="0"/>
              <w:left w:val="none" w:color="000000" w:sz="4" w:space="0"/>
              <w:bottom w:val="single" w:color="000000" w:sz="8" w:space="0"/>
              <w:right w:val="single" w:color="000000" w:sz="8" w:space="0"/>
            </w:tcBorders>
            <w:tcW w:w="719"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17</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臭桂鱼</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半成品</w:t>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44</w:t>
            </w:r>
            <w:r/>
          </w:p>
        </w:tc>
        <w:tc>
          <w:tcPr>
            <w:gridSpan w:val="3"/>
            <w:shd w:val="clear" w:color="auto" w:fill="ffffff"/>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水发笋干</w:t>
            </w:r>
            <w:r/>
          </w:p>
        </w:tc>
        <w:tc>
          <w:tcPr>
            <w:gridSpan w:val="5"/>
            <w:tcBorders>
              <w:top w:val="none" w:color="000000" w:sz="4" w:space="0"/>
              <w:left w:val="none" w:color="000000" w:sz="4" w:space="0"/>
              <w:bottom w:val="single" w:color="000000" w:sz="8" w:space="0"/>
              <w:right w:val="single" w:color="000000" w:sz="8" w:space="0"/>
            </w:tcBorders>
            <w:tcW w:w="719"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18</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国产带鱼</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≥1斤</w:t>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45</w:t>
            </w:r>
            <w:r/>
          </w:p>
        </w:tc>
        <w:tc>
          <w:tcPr>
            <w:gridSpan w:val="3"/>
            <w:shd w:val="clear" w:color="auto" w:fill="ffffff"/>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牛百叶</w:t>
            </w:r>
            <w:r/>
          </w:p>
        </w:tc>
        <w:tc>
          <w:tcPr>
            <w:gridSpan w:val="5"/>
            <w:tcBorders>
              <w:top w:val="none" w:color="000000" w:sz="4" w:space="0"/>
              <w:left w:val="none" w:color="000000" w:sz="4" w:space="0"/>
              <w:bottom w:val="single" w:color="000000" w:sz="8" w:space="0"/>
              <w:right w:val="single" w:color="000000" w:sz="8" w:space="0"/>
            </w:tcBorders>
            <w:tcW w:w="719"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19</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花蛤</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46</w:t>
            </w:r>
            <w:r/>
          </w:p>
        </w:tc>
        <w:tc>
          <w:tcPr>
            <w:gridSpan w:val="3"/>
            <w:shd w:val="clear" w:color="auto" w:fill="ffffff"/>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水发鱿鱼</w:t>
            </w:r>
            <w:r/>
          </w:p>
        </w:tc>
        <w:tc>
          <w:tcPr>
            <w:gridSpan w:val="5"/>
            <w:tcBorders>
              <w:top w:val="none" w:color="000000" w:sz="4" w:space="0"/>
              <w:left w:val="none" w:color="000000" w:sz="4" w:space="0"/>
              <w:bottom w:val="single" w:color="000000" w:sz="8" w:space="0"/>
              <w:right w:val="single" w:color="000000" w:sz="8" w:space="0"/>
            </w:tcBorders>
            <w:tcW w:w="719"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20</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小龙虾</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47</w:t>
            </w:r>
            <w:r/>
          </w:p>
        </w:tc>
        <w:tc>
          <w:tcPr>
            <w:gridSpan w:val="3"/>
            <w:shd w:val="clear" w:color="auto" w:fill="ffffff"/>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水发蹄筋</w:t>
            </w:r>
            <w:r/>
          </w:p>
        </w:tc>
        <w:tc>
          <w:tcPr>
            <w:gridSpan w:val="5"/>
            <w:tcBorders>
              <w:top w:val="none" w:color="000000" w:sz="4" w:space="0"/>
              <w:left w:val="none" w:color="000000" w:sz="4" w:space="0"/>
              <w:bottom w:val="single" w:color="000000" w:sz="8" w:space="0"/>
              <w:right w:val="single" w:color="000000" w:sz="8" w:space="0"/>
            </w:tcBorders>
            <w:tcW w:w="719"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21</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扇贝</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48</w:t>
            </w:r>
            <w:r/>
          </w:p>
        </w:tc>
        <w:tc>
          <w:tcPr>
            <w:gridSpan w:val="3"/>
            <w:shd w:val="clear" w:color="auto" w:fill="ffffff"/>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牛肚</w:t>
            </w:r>
            <w:r/>
          </w:p>
        </w:tc>
        <w:tc>
          <w:tcPr>
            <w:gridSpan w:val="5"/>
            <w:tcBorders>
              <w:top w:val="none" w:color="000000" w:sz="4" w:space="0"/>
              <w:left w:val="none" w:color="000000" w:sz="4" w:space="0"/>
              <w:bottom w:val="single" w:color="000000" w:sz="8" w:space="0"/>
              <w:right w:val="single" w:color="000000" w:sz="8" w:space="0"/>
            </w:tcBorders>
            <w:tcW w:w="719"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22</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黄鳝</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49</w:t>
            </w:r>
            <w:r/>
          </w:p>
        </w:tc>
        <w:tc>
          <w:tcPr>
            <w:gridSpan w:val="3"/>
            <w:shd w:val="clear" w:color="auto" w:fill="ffffff"/>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毛肚</w:t>
            </w:r>
            <w:r/>
          </w:p>
        </w:tc>
        <w:tc>
          <w:tcPr>
            <w:gridSpan w:val="5"/>
            <w:tcBorders>
              <w:top w:val="none" w:color="000000" w:sz="4" w:space="0"/>
              <w:left w:val="none" w:color="000000" w:sz="4" w:space="0"/>
              <w:bottom w:val="single" w:color="000000" w:sz="8" w:space="0"/>
              <w:right w:val="single" w:color="000000" w:sz="8" w:space="0"/>
            </w:tcBorders>
            <w:tcW w:w="719"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23</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鳝丝</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w:t>
            </w:r>
            <w:r/>
          </w:p>
        </w:tc>
        <w:tc>
          <w:tcPr>
            <w:gridSpan w:val="3"/>
            <w:shd w:val="clear" w:color="auto" w:fill="ffffff"/>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海带片</w:t>
            </w:r>
            <w:r/>
          </w:p>
        </w:tc>
        <w:tc>
          <w:tcPr>
            <w:gridSpan w:val="5"/>
            <w:tcBorders>
              <w:top w:val="none" w:color="000000" w:sz="4" w:space="0"/>
              <w:left w:val="none" w:color="000000" w:sz="4" w:space="0"/>
              <w:bottom w:val="single" w:color="000000" w:sz="8" w:space="0"/>
              <w:right w:val="single" w:color="000000" w:sz="8" w:space="0"/>
            </w:tcBorders>
            <w:tcW w:w="719"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24</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鳝骨</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3"/>
            <w:shd w:val="clear" w:color="auto" w:fill="ffffff"/>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none" w:color="000000" w:sz="4" w:space="0"/>
              <w:left w:val="none" w:color="000000" w:sz="4" w:space="0"/>
              <w:bottom w:val="single" w:color="000000" w:sz="8" w:space="0"/>
              <w:right w:val="single" w:color="000000" w:sz="8" w:space="0"/>
            </w:tcBorders>
            <w:tcW w:w="719"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25</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鳝背</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3"/>
            <w:shd w:val="clear" w:color="auto" w:fill="ffffff"/>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none" w:color="000000" w:sz="4" w:space="0"/>
              <w:left w:val="none" w:color="000000" w:sz="4" w:space="0"/>
              <w:bottom w:val="single" w:color="000000" w:sz="8" w:space="0"/>
              <w:right w:val="single" w:color="000000" w:sz="8" w:space="0"/>
            </w:tcBorders>
            <w:tcW w:w="719"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26</w:t>
            </w:r>
            <w:r/>
          </w:p>
        </w:tc>
        <w:tc>
          <w:tcPr>
            <w:gridSpan w:val="4"/>
            <w:tcBorders>
              <w:top w:val="none" w:color="000000" w:sz="4" w:space="0"/>
              <w:left w:val="none" w:color="000000" w:sz="4" w:space="0"/>
              <w:bottom w:val="single" w:color="000000" w:sz="8" w:space="0"/>
              <w:right w:val="single" w:color="000000" w:sz="8" w:space="0"/>
            </w:tcBorders>
            <w:tcW w:w="175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基围虾</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≤45只/斤</w:t>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3"/>
            <w:shd w:val="clear" w:color="auto" w:fill="ffffff"/>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none" w:color="000000" w:sz="4" w:space="0"/>
              <w:left w:val="none" w:color="000000" w:sz="4" w:space="0"/>
              <w:bottom w:val="single" w:color="000000" w:sz="8" w:space="0"/>
              <w:right w:val="single" w:color="000000" w:sz="8" w:space="0"/>
            </w:tcBorders>
            <w:tcW w:w="719"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27</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基围虾</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≤65只/斤</w:t>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3"/>
            <w:tcBorders>
              <w:top w:val="none" w:color="000000" w:sz="4" w:space="0"/>
              <w:left w:val="none" w:color="000000" w:sz="4" w:space="0"/>
              <w:bottom w:val="single" w:color="000000" w:sz="8" w:space="0"/>
              <w:right w:val="single" w:color="000000" w:sz="8" w:space="0"/>
            </w:tcBorders>
            <w:tcW w:w="173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7"/>
            <w:tcBorders>
              <w:top w:val="none" w:color="000000" w:sz="4" w:space="0"/>
              <w:left w:val="none" w:color="000000" w:sz="4" w:space="0"/>
              <w:bottom w:val="single" w:color="000000" w:sz="8" w:space="0"/>
              <w:right w:val="single" w:color="000000" w:sz="8" w:space="0"/>
            </w:tcBorders>
            <w:tcW w:w="158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880"/>
        </w:trPr>
        <w:tc>
          <w:tcPr>
            <w:gridSpan w:val="38"/>
            <w:tcBorders>
              <w:top w:val="none" w:color="000000" w:sz="4" w:space="0"/>
              <w:left w:val="single" w:color="000000" w:sz="8" w:space="0"/>
              <w:bottom w:val="single" w:color="000000" w:sz="8" w:space="0"/>
              <w:right w:val="single" w:color="000000" w:sz="8" w:space="0"/>
            </w:tcBorders>
            <w:tcW w:w="879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sz w:val="24"/>
                <w:szCs w:val="24"/>
              </w:rPr>
              <w:t xml:space="preserve">备注：所送产品严格按照约货单上所标注要求，如不符要求导致不能使用的，及时退货并按要求补货。</w:t>
            </w:r>
            <w:r>
              <w:rPr>
                <w:rFonts w:ascii="宋体" w:hAnsi="宋体" w:eastAsia="宋体" w:cs="宋体"/>
                <w:b w:val="0"/>
                <w:bCs w:val="0"/>
                <w:sz w:val="24"/>
                <w:szCs w:val="24"/>
              </w:rPr>
            </w:r>
            <w:r/>
          </w:p>
        </w:tc>
      </w:tr>
      <w:tr>
        <w:trPr>
          <w:trHeight w:val="300"/>
        </w:trPr>
        <w:tc>
          <w:tcPr>
            <w:gridSpan w:val="38"/>
            <w:tcBorders>
              <w:top w:val="none" w:color="000000" w:sz="4" w:space="0"/>
              <w:left w:val="single" w:color="000000" w:sz="8" w:space="0"/>
              <w:bottom w:val="single" w:color="000000" w:sz="8" w:space="0"/>
              <w:right w:val="single" w:color="000000" w:sz="8" w:space="0"/>
            </w:tcBorders>
            <w:tcW w:w="8790"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冷  冻  品  类</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序号</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品名</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单位</w:t>
            </w:r>
            <w:r/>
          </w:p>
        </w:tc>
        <w:tc>
          <w:tcPr>
            <w:gridSpan w:val="5"/>
            <w:shd w:val="clear" w:color="auto" w:fill="ffffff"/>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备注</w:t>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序号</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品名</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单位</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备注</w:t>
            </w:r>
            <w:r/>
          </w:p>
        </w:tc>
      </w:tr>
      <w:tr>
        <w:trPr>
          <w:trHeight w:val="795"/>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鸡腿（100-120g）</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19</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鸡胸</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795"/>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鸡腿（130-150g）</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20</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鸭根</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54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鸡腿（80-100g）</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21</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鸭胗</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鸡根</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22</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白姑鱼（≥2.5两）</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鸡翅中</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23</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肉鲳鱼（≥2.5两）</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短柄鸡爪</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24</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鸡米花</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长柄鸡爪</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25</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糯玉米</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手枪腿</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26</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手工水饺</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鸡边腿</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27</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玉米杂菜</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腊鸡腿</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28</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冰毛豆</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鸡架</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29</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冻猪肚</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12</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腊味香肠</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30</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巴沙鱼柳</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13</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腊肉</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31</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老鹅</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14</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鲷鱼</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32</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大骨头</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15</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冰牛腱</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33</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冰荠菜</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16</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培根</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34</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冻三黄鸡</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17</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冻鸭</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35</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虾仁</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0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18</w:t>
            </w:r>
            <w:r/>
          </w:p>
        </w:tc>
        <w:tc>
          <w:tcPr>
            <w:gridSpan w:val="4"/>
            <w:tcBorders>
              <w:top w:val="none" w:color="000000" w:sz="4" w:space="0"/>
              <w:left w:val="none" w:color="000000" w:sz="4" w:space="0"/>
              <w:bottom w:val="single" w:color="000000" w:sz="8" w:space="0"/>
              <w:right w:val="single" w:color="000000" w:sz="8" w:space="0"/>
            </w:tcBorders>
            <w:tcW w:w="17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牛柳</w:t>
            </w:r>
            <w:r/>
          </w:p>
        </w:tc>
        <w:tc>
          <w:tcPr>
            <w:gridSpan w:val="8"/>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袋</w:t>
            </w:r>
            <w:r/>
          </w:p>
        </w:tc>
        <w:tc>
          <w:tcPr>
            <w:gridSpan w:val="5"/>
            <w:tcBorders>
              <w:top w:val="none" w:color="000000" w:sz="4" w:space="0"/>
              <w:left w:val="none" w:color="000000" w:sz="4" w:space="0"/>
              <w:bottom w:val="single" w:color="000000" w:sz="8" w:space="0"/>
              <w:right w:val="single" w:color="000000" w:sz="8" w:space="0"/>
            </w:tcBorders>
            <w:tcW w:w="111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36</w:t>
            </w:r>
            <w:r/>
          </w:p>
        </w:tc>
        <w:tc>
          <w:tcPr>
            <w:gridSpan w:val="5"/>
            <w:tcBorders>
              <w:top w:val="none" w:color="000000" w:sz="4" w:space="0"/>
              <w:left w:val="none" w:color="000000" w:sz="4" w:space="0"/>
              <w:bottom w:val="single" w:color="000000" w:sz="8" w:space="0"/>
              <w:right w:val="single" w:color="000000" w:sz="8" w:space="0"/>
            </w:tcBorders>
            <w:tcW w:w="204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长柄鸡爪</w:t>
            </w:r>
            <w:r/>
          </w:p>
        </w:tc>
        <w:tc>
          <w:tcPr>
            <w:gridSpan w:val="6"/>
            <w:tcBorders>
              <w:top w:val="none" w:color="000000" w:sz="4" w:space="0"/>
              <w:left w:val="none" w:color="000000" w:sz="4" w:space="0"/>
              <w:bottom w:val="single" w:color="000000" w:sz="8" w:space="0"/>
              <w:right w:val="single" w:color="000000" w:sz="8" w:space="0"/>
            </w:tcBorders>
            <w:tcW w:w="6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gridAfter w:val="1"/>
          <w:trHeight w:val="315"/>
        </w:trPr>
        <w:tc>
          <w:tcPr>
            <w:gridSpan w:val="37"/>
            <w:tcBorders>
              <w:top w:val="single" w:color="000000" w:sz="8" w:space="0"/>
              <w:left w:val="single" w:color="000000" w:sz="8" w:space="0"/>
              <w:bottom w:val="single" w:color="000000" w:sz="8" w:space="0"/>
              <w:right w:val="single" w:color="000000" w:sz="8" w:space="0"/>
            </w:tcBorders>
            <w:tcW w:w="8734"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米  面  粮  油 、 蛋  奶  类</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序号</w:t>
            </w:r>
            <w:r/>
          </w:p>
        </w:tc>
        <w:tc>
          <w:tcPr>
            <w:gridSpan w:val="5"/>
            <w:tcBorders>
              <w:top w:val="none" w:color="000000" w:sz="4" w:space="0"/>
              <w:left w:val="none" w:color="000000" w:sz="4" w:space="0"/>
              <w:bottom w:val="single" w:color="000000" w:sz="8" w:space="0"/>
              <w:right w:val="single" w:color="000000" w:sz="8" w:space="0"/>
            </w:tcBorders>
            <w:tcW w:w="1888"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品名</w:t>
            </w:r>
            <w:r/>
          </w:p>
        </w:tc>
        <w:tc>
          <w:tcPr>
            <w:gridSpan w:val="6"/>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单位</w:t>
            </w:r>
            <w:r/>
          </w:p>
        </w:tc>
        <w:tc>
          <w:tcPr>
            <w:gridSpan w:val="4"/>
            <w:shd w:val="clear" w:color="auto" w:fill="ffffff"/>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备注</w:t>
            </w:r>
            <w:r/>
          </w:p>
        </w:tc>
        <w:tc>
          <w:tcPr>
            <w:gridSpan w:val="5"/>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序号</w:t>
            </w:r>
            <w:r/>
          </w:p>
        </w:tc>
        <w:tc>
          <w:tcPr>
            <w:gridSpan w:val="4"/>
            <w:tcBorders>
              <w:top w:val="none" w:color="000000" w:sz="4" w:space="0"/>
              <w:left w:val="none" w:color="000000" w:sz="4" w:space="0"/>
              <w:bottom w:val="single" w:color="000000" w:sz="8" w:space="0"/>
              <w:right w:val="single" w:color="000000" w:sz="8" w:space="0"/>
            </w:tcBorders>
            <w:tcW w:w="1758"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品名</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单位</w:t>
            </w:r>
            <w:r/>
          </w:p>
        </w:tc>
        <w:tc>
          <w:tcPr>
            <w:gridSpan w:val="4"/>
            <w:shd w:val="clear" w:color="auto" w:fill="ffffff"/>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备注</w:t>
            </w:r>
            <w:r/>
          </w:p>
        </w:tc>
      </w:tr>
      <w:tr>
        <w:trPr>
          <w:gridAfter w:val="1"/>
          <w:trHeight w:val="9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w:t>
            </w:r>
            <w:r/>
          </w:p>
        </w:tc>
        <w:tc>
          <w:tcPr>
            <w:gridSpan w:val="5"/>
            <w:tcBorders>
              <w:top w:val="none" w:color="000000" w:sz="4" w:space="0"/>
              <w:left w:val="none" w:color="000000" w:sz="4" w:space="0"/>
              <w:bottom w:val="single" w:color="000000" w:sz="8" w:space="0"/>
              <w:right w:val="single" w:color="000000" w:sz="8" w:space="0"/>
            </w:tcBorders>
            <w:tcW w:w="188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面粉</w:t>
            </w:r>
            <w:r/>
          </w:p>
        </w:tc>
        <w:tc>
          <w:tcPr>
            <w:gridSpan w:val="6"/>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包</w:t>
            </w:r>
            <w:r/>
          </w:p>
        </w:tc>
        <w:tc>
          <w:tcPr>
            <w:gridSpan w:val="4"/>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≥25kg</w:t>
            </w:r>
            <w:r/>
          </w:p>
        </w:tc>
        <w:tc>
          <w:tcPr>
            <w:gridSpan w:val="5"/>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12</w:t>
            </w:r>
            <w:r/>
          </w:p>
        </w:tc>
        <w:tc>
          <w:tcPr>
            <w:gridSpan w:val="4"/>
            <w:tcBorders>
              <w:top w:val="none" w:color="000000" w:sz="4" w:space="0"/>
              <w:left w:val="none" w:color="000000" w:sz="4" w:space="0"/>
              <w:bottom w:val="single" w:color="000000" w:sz="8" w:space="0"/>
              <w:right w:val="single" w:color="000000" w:sz="8" w:space="0"/>
            </w:tcBorders>
            <w:tcW w:w="175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生粉</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包</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≥200g*50</w:t>
            </w:r>
            <w:r/>
          </w:p>
        </w:tc>
      </w:tr>
      <w:tr>
        <w:trPr>
          <w:gridAfter w:val="1"/>
          <w:trHeight w:val="9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w:t>
            </w:r>
            <w:r/>
          </w:p>
        </w:tc>
        <w:tc>
          <w:tcPr>
            <w:gridSpan w:val="5"/>
            <w:tcBorders>
              <w:top w:val="none" w:color="000000" w:sz="4" w:space="0"/>
              <w:left w:val="none" w:color="000000" w:sz="4" w:space="0"/>
              <w:bottom w:val="single" w:color="000000" w:sz="8" w:space="0"/>
              <w:right w:val="single" w:color="000000" w:sz="8" w:space="0"/>
            </w:tcBorders>
            <w:tcW w:w="188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大米</w:t>
            </w:r>
            <w:r/>
          </w:p>
        </w:tc>
        <w:tc>
          <w:tcPr>
            <w:gridSpan w:val="6"/>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包</w:t>
            </w:r>
            <w:r/>
          </w:p>
        </w:tc>
        <w:tc>
          <w:tcPr>
            <w:gridSpan w:val="4"/>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≥25kg</w:t>
            </w:r>
            <w:r/>
          </w:p>
        </w:tc>
        <w:tc>
          <w:tcPr>
            <w:gridSpan w:val="5"/>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13</w:t>
            </w:r>
            <w:r/>
          </w:p>
        </w:tc>
        <w:tc>
          <w:tcPr>
            <w:gridSpan w:val="4"/>
            <w:tcBorders>
              <w:top w:val="none" w:color="000000" w:sz="4" w:space="0"/>
              <w:left w:val="none" w:color="000000" w:sz="4" w:space="0"/>
              <w:bottom w:val="single" w:color="000000" w:sz="8" w:space="0"/>
              <w:right w:val="single" w:color="000000" w:sz="8" w:space="0"/>
            </w:tcBorders>
            <w:tcW w:w="175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黑米粉</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w:t>
            </w:r>
            <w:r/>
          </w:p>
        </w:tc>
        <w:tc>
          <w:tcPr>
            <w:gridSpan w:val="5"/>
            <w:tcBorders>
              <w:top w:val="none" w:color="000000" w:sz="4" w:space="0"/>
              <w:left w:val="none" w:color="000000" w:sz="4" w:space="0"/>
              <w:bottom w:val="single" w:color="000000" w:sz="8" w:space="0"/>
              <w:right w:val="single" w:color="000000" w:sz="8" w:space="0"/>
            </w:tcBorders>
            <w:tcW w:w="188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油条粉</w:t>
            </w:r>
            <w:r/>
          </w:p>
        </w:tc>
        <w:tc>
          <w:tcPr>
            <w:gridSpan w:val="6"/>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包</w:t>
            </w:r>
            <w:r/>
          </w:p>
        </w:tc>
        <w:tc>
          <w:tcPr>
            <w:gridSpan w:val="4"/>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≥25kg</w:t>
            </w:r>
            <w:r/>
          </w:p>
        </w:tc>
        <w:tc>
          <w:tcPr>
            <w:gridSpan w:val="5"/>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14</w:t>
            </w:r>
            <w:r/>
          </w:p>
        </w:tc>
        <w:tc>
          <w:tcPr>
            <w:gridSpan w:val="4"/>
            <w:tcBorders>
              <w:top w:val="none" w:color="000000" w:sz="4" w:space="0"/>
              <w:left w:val="none" w:color="000000" w:sz="4" w:space="0"/>
              <w:bottom w:val="single" w:color="000000" w:sz="8" w:space="0"/>
              <w:right w:val="single" w:color="000000" w:sz="8" w:space="0"/>
            </w:tcBorders>
            <w:tcW w:w="175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梗米粉</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w:t>
            </w:r>
            <w:r/>
          </w:p>
        </w:tc>
        <w:tc>
          <w:tcPr>
            <w:gridSpan w:val="5"/>
            <w:tcBorders>
              <w:top w:val="none" w:color="000000" w:sz="4" w:space="0"/>
              <w:left w:val="none" w:color="000000" w:sz="4" w:space="0"/>
              <w:bottom w:val="single" w:color="000000" w:sz="8" w:space="0"/>
              <w:right w:val="single" w:color="000000" w:sz="8" w:space="0"/>
            </w:tcBorders>
            <w:tcW w:w="188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玉米淀粉</w:t>
            </w:r>
            <w:r/>
          </w:p>
        </w:tc>
        <w:tc>
          <w:tcPr>
            <w:gridSpan w:val="6"/>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包</w:t>
            </w:r>
            <w:r/>
          </w:p>
        </w:tc>
        <w:tc>
          <w:tcPr>
            <w:gridSpan w:val="4"/>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≥25kg</w:t>
            </w:r>
            <w:r/>
          </w:p>
        </w:tc>
        <w:tc>
          <w:tcPr>
            <w:gridSpan w:val="5"/>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15</w:t>
            </w:r>
            <w:r/>
          </w:p>
        </w:tc>
        <w:tc>
          <w:tcPr>
            <w:gridSpan w:val="4"/>
            <w:tcBorders>
              <w:top w:val="none" w:color="000000" w:sz="4" w:space="0"/>
              <w:left w:val="none" w:color="000000" w:sz="4" w:space="0"/>
              <w:bottom w:val="single" w:color="000000" w:sz="8" w:space="0"/>
              <w:right w:val="single" w:color="000000" w:sz="8" w:space="0"/>
            </w:tcBorders>
            <w:tcW w:w="175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葵花籽色拉油</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≥5L*4</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w:t>
            </w:r>
            <w:r/>
          </w:p>
        </w:tc>
        <w:tc>
          <w:tcPr>
            <w:gridSpan w:val="5"/>
            <w:tcBorders>
              <w:top w:val="none" w:color="000000" w:sz="4" w:space="0"/>
              <w:left w:val="none" w:color="000000" w:sz="4" w:space="0"/>
              <w:bottom w:val="single" w:color="000000" w:sz="8" w:space="0"/>
              <w:right w:val="single" w:color="000000" w:sz="8" w:space="0"/>
            </w:tcBorders>
            <w:tcW w:w="188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糯米</w:t>
            </w:r>
            <w:r/>
          </w:p>
        </w:tc>
        <w:tc>
          <w:tcPr>
            <w:gridSpan w:val="6"/>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包</w:t>
            </w:r>
            <w:r/>
          </w:p>
        </w:tc>
        <w:tc>
          <w:tcPr>
            <w:gridSpan w:val="4"/>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≥25kg</w:t>
            </w:r>
            <w:r/>
          </w:p>
        </w:tc>
        <w:tc>
          <w:tcPr>
            <w:gridSpan w:val="5"/>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16</w:t>
            </w:r>
            <w:r/>
          </w:p>
        </w:tc>
        <w:tc>
          <w:tcPr>
            <w:gridSpan w:val="4"/>
            <w:tcBorders>
              <w:top w:val="none" w:color="000000" w:sz="4" w:space="0"/>
              <w:left w:val="none" w:color="000000" w:sz="4" w:space="0"/>
              <w:bottom w:val="single" w:color="000000" w:sz="8" w:space="0"/>
              <w:right w:val="single" w:color="000000" w:sz="8" w:space="0"/>
            </w:tcBorders>
            <w:tcW w:w="175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大米</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包</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≥25kg</w:t>
            </w:r>
            <w:r/>
          </w:p>
        </w:tc>
      </w:tr>
      <w:tr>
        <w:trPr>
          <w:gridAfter w:val="1"/>
          <w:trHeight w:val="9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w:t>
            </w:r>
            <w:r/>
          </w:p>
        </w:tc>
        <w:tc>
          <w:tcPr>
            <w:gridSpan w:val="5"/>
            <w:tcBorders>
              <w:top w:val="none" w:color="000000" w:sz="4" w:space="0"/>
              <w:left w:val="none" w:color="000000" w:sz="4" w:space="0"/>
              <w:bottom w:val="single" w:color="000000" w:sz="8" w:space="0"/>
              <w:right w:val="single" w:color="000000" w:sz="8" w:space="0"/>
            </w:tcBorders>
            <w:tcW w:w="188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糯米粉</w:t>
            </w:r>
            <w:r/>
          </w:p>
        </w:tc>
        <w:tc>
          <w:tcPr>
            <w:gridSpan w:val="6"/>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包</w:t>
            </w:r>
            <w:r/>
          </w:p>
        </w:tc>
        <w:tc>
          <w:tcPr>
            <w:gridSpan w:val="4"/>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≥25kg</w:t>
            </w:r>
            <w:r/>
          </w:p>
        </w:tc>
        <w:tc>
          <w:tcPr>
            <w:gridSpan w:val="5"/>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17</w:t>
            </w:r>
            <w:r/>
          </w:p>
        </w:tc>
        <w:tc>
          <w:tcPr>
            <w:gridSpan w:val="4"/>
            <w:tcBorders>
              <w:top w:val="none" w:color="000000" w:sz="4" w:space="0"/>
              <w:left w:val="none" w:color="000000" w:sz="4" w:space="0"/>
              <w:bottom w:val="single" w:color="000000" w:sz="8" w:space="0"/>
              <w:right w:val="single" w:color="000000" w:sz="8" w:space="0"/>
            </w:tcBorders>
            <w:tcW w:w="175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鸡蛋</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斤/筐</w:t>
            </w:r>
            <w:r/>
          </w:p>
        </w:tc>
      </w:tr>
      <w:tr>
        <w:trPr>
          <w:gridAfter w:val="1"/>
          <w:trHeight w:val="9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w:t>
            </w:r>
            <w:r/>
          </w:p>
        </w:tc>
        <w:tc>
          <w:tcPr>
            <w:gridSpan w:val="5"/>
            <w:tcBorders>
              <w:top w:val="none" w:color="000000" w:sz="4" w:space="0"/>
              <w:left w:val="none" w:color="000000" w:sz="4" w:space="0"/>
              <w:bottom w:val="single" w:color="000000" w:sz="8" w:space="0"/>
              <w:right w:val="single" w:color="000000" w:sz="8" w:space="0"/>
            </w:tcBorders>
            <w:tcW w:w="188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糙米</w:t>
            </w:r>
            <w:r/>
          </w:p>
        </w:tc>
        <w:tc>
          <w:tcPr>
            <w:gridSpan w:val="6"/>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包</w:t>
            </w:r>
            <w:r/>
          </w:p>
        </w:tc>
        <w:tc>
          <w:tcPr>
            <w:gridSpan w:val="4"/>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≥400g</w:t>
            </w:r>
            <w:r/>
          </w:p>
        </w:tc>
        <w:tc>
          <w:tcPr>
            <w:gridSpan w:val="5"/>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18</w:t>
            </w:r>
            <w:r/>
          </w:p>
        </w:tc>
        <w:tc>
          <w:tcPr>
            <w:gridSpan w:val="4"/>
            <w:tcBorders>
              <w:top w:val="none" w:color="000000" w:sz="4" w:space="0"/>
              <w:left w:val="none" w:color="000000" w:sz="4" w:space="0"/>
              <w:bottom w:val="single" w:color="000000" w:sz="8" w:space="0"/>
              <w:right w:val="single" w:color="000000" w:sz="8" w:space="0"/>
            </w:tcBorders>
            <w:tcW w:w="175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光鹌鹑蛋</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1"/>
          <w:trHeight w:val="9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w:t>
            </w:r>
            <w:r/>
          </w:p>
        </w:tc>
        <w:tc>
          <w:tcPr>
            <w:gridSpan w:val="5"/>
            <w:tcBorders>
              <w:top w:val="none" w:color="000000" w:sz="4" w:space="0"/>
              <w:left w:val="none" w:color="000000" w:sz="4" w:space="0"/>
              <w:bottom w:val="single" w:color="000000" w:sz="8" w:space="0"/>
              <w:right w:val="single" w:color="000000" w:sz="8" w:space="0"/>
            </w:tcBorders>
            <w:tcW w:w="188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燕麦</w:t>
            </w:r>
            <w:r/>
          </w:p>
        </w:tc>
        <w:tc>
          <w:tcPr>
            <w:gridSpan w:val="6"/>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包</w:t>
            </w:r>
            <w:r/>
          </w:p>
        </w:tc>
        <w:tc>
          <w:tcPr>
            <w:gridSpan w:val="4"/>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≥400g</w:t>
            </w:r>
            <w:r/>
          </w:p>
        </w:tc>
        <w:tc>
          <w:tcPr>
            <w:gridSpan w:val="5"/>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19</w:t>
            </w:r>
            <w:r/>
          </w:p>
        </w:tc>
        <w:tc>
          <w:tcPr>
            <w:gridSpan w:val="4"/>
            <w:tcBorders>
              <w:top w:val="none" w:color="000000" w:sz="4" w:space="0"/>
              <w:left w:val="none" w:color="000000" w:sz="4" w:space="0"/>
              <w:bottom w:val="single" w:color="000000" w:sz="8" w:space="0"/>
              <w:right w:val="single" w:color="000000" w:sz="8" w:space="0"/>
            </w:tcBorders>
            <w:tcW w:w="175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牛奶</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1"/>
          <w:trHeight w:val="9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w:t>
            </w:r>
            <w:r/>
          </w:p>
        </w:tc>
        <w:tc>
          <w:tcPr>
            <w:gridSpan w:val="5"/>
            <w:tcBorders>
              <w:top w:val="none" w:color="000000" w:sz="4" w:space="0"/>
              <w:left w:val="none" w:color="000000" w:sz="4" w:space="0"/>
              <w:bottom w:val="single" w:color="000000" w:sz="8" w:space="0"/>
              <w:right w:val="single" w:color="000000" w:sz="8" w:space="0"/>
            </w:tcBorders>
            <w:tcW w:w="188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菜籽色拉油</w:t>
            </w:r>
            <w:r/>
          </w:p>
        </w:tc>
        <w:tc>
          <w:tcPr>
            <w:gridSpan w:val="6"/>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≥5L*4</w:t>
            </w:r>
            <w:r/>
          </w:p>
        </w:tc>
        <w:tc>
          <w:tcPr>
            <w:gridSpan w:val="5"/>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20</w:t>
            </w:r>
            <w:r/>
          </w:p>
        </w:tc>
        <w:tc>
          <w:tcPr>
            <w:gridSpan w:val="4"/>
            <w:tcBorders>
              <w:top w:val="none" w:color="000000" w:sz="4" w:space="0"/>
              <w:left w:val="none" w:color="000000" w:sz="4" w:space="0"/>
              <w:bottom w:val="single" w:color="000000" w:sz="8" w:space="0"/>
              <w:right w:val="single" w:color="000000" w:sz="8" w:space="0"/>
            </w:tcBorders>
            <w:tcW w:w="175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酸奶</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1"/>
          <w:trHeight w:val="9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w:t>
            </w:r>
            <w:r/>
          </w:p>
        </w:tc>
        <w:tc>
          <w:tcPr>
            <w:gridSpan w:val="5"/>
            <w:tcBorders>
              <w:top w:val="none" w:color="000000" w:sz="4" w:space="0"/>
              <w:left w:val="none" w:color="000000" w:sz="4" w:space="0"/>
              <w:bottom w:val="single" w:color="000000" w:sz="8" w:space="0"/>
              <w:right w:val="single" w:color="000000" w:sz="8" w:space="0"/>
            </w:tcBorders>
            <w:tcW w:w="188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菜籽油</w:t>
            </w:r>
            <w:r/>
          </w:p>
        </w:tc>
        <w:tc>
          <w:tcPr>
            <w:gridSpan w:val="6"/>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桶</w:t>
            </w:r>
            <w:r/>
          </w:p>
        </w:tc>
        <w:tc>
          <w:tcPr>
            <w:gridSpan w:val="4"/>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10L</w:t>
            </w:r>
            <w:r/>
          </w:p>
        </w:tc>
        <w:tc>
          <w:tcPr>
            <w:gridSpan w:val="5"/>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21</w:t>
            </w:r>
            <w:r/>
          </w:p>
        </w:tc>
        <w:tc>
          <w:tcPr>
            <w:gridSpan w:val="4"/>
            <w:tcBorders>
              <w:top w:val="none" w:color="000000" w:sz="4" w:space="0"/>
              <w:left w:val="none" w:color="000000" w:sz="4" w:space="0"/>
              <w:bottom w:val="single" w:color="000000" w:sz="8" w:space="0"/>
              <w:right w:val="single" w:color="000000" w:sz="8" w:space="0"/>
            </w:tcBorders>
            <w:tcW w:w="175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gridAfter w:val="1"/>
          <w:trHeight w:val="9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w:t>
            </w:r>
            <w:r/>
          </w:p>
        </w:tc>
        <w:tc>
          <w:tcPr>
            <w:gridSpan w:val="5"/>
            <w:tcBorders>
              <w:top w:val="none" w:color="000000" w:sz="4" w:space="0"/>
              <w:left w:val="none" w:color="000000" w:sz="4" w:space="0"/>
              <w:bottom w:val="single" w:color="000000" w:sz="8" w:space="0"/>
              <w:right w:val="single" w:color="000000" w:sz="8" w:space="0"/>
            </w:tcBorders>
            <w:tcW w:w="188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生粉</w:t>
            </w:r>
            <w:r/>
          </w:p>
        </w:tc>
        <w:tc>
          <w:tcPr>
            <w:gridSpan w:val="6"/>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包</w:t>
            </w:r>
            <w:r/>
          </w:p>
        </w:tc>
        <w:tc>
          <w:tcPr>
            <w:gridSpan w:val="4"/>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≥25kg</w:t>
            </w:r>
            <w:r/>
          </w:p>
        </w:tc>
        <w:tc>
          <w:tcPr>
            <w:gridSpan w:val="5"/>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22</w:t>
            </w:r>
            <w:r/>
          </w:p>
        </w:tc>
        <w:tc>
          <w:tcPr>
            <w:gridSpan w:val="4"/>
            <w:tcBorders>
              <w:top w:val="none" w:color="000000" w:sz="4" w:space="0"/>
              <w:left w:val="none" w:color="000000" w:sz="4" w:space="0"/>
              <w:bottom w:val="single" w:color="000000" w:sz="8" w:space="0"/>
              <w:right w:val="single" w:color="000000" w:sz="8" w:space="0"/>
            </w:tcBorders>
            <w:tcW w:w="175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gridAfter w:val="1"/>
          <w:trHeight w:val="315"/>
        </w:trPr>
        <w:tc>
          <w:tcPr>
            <w:gridSpan w:val="37"/>
            <w:tcBorders>
              <w:top w:val="single" w:color="000000" w:sz="8" w:space="0"/>
              <w:left w:val="single" w:color="000000" w:sz="8" w:space="0"/>
              <w:bottom w:val="single" w:color="000000" w:sz="8" w:space="0"/>
              <w:right w:val="single" w:color="000000" w:sz="8" w:space="0"/>
            </w:tcBorders>
            <w:tcW w:w="8734"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干  货  调  料</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序号</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品名</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单位</w:t>
            </w:r>
            <w:r/>
          </w:p>
        </w:tc>
        <w:tc>
          <w:tcPr>
            <w:gridSpan w:val="9"/>
            <w:shd w:val="clear" w:color="auto" w:fill="ffffff"/>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备注</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序号</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品名</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单位</w:t>
            </w:r>
            <w:r/>
          </w:p>
        </w:tc>
        <w:tc>
          <w:tcPr>
            <w:gridSpan w:val="4"/>
            <w:shd w:val="clear" w:color="auto" w:fill="ffffff"/>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备注</w:t>
            </w:r>
            <w:r/>
          </w:p>
        </w:tc>
      </w:tr>
      <w:tr>
        <w:trPr>
          <w:gridAfter w:val="1"/>
          <w:trHeight w:val="52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八角</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37</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芝麻油</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≥450ml*20</w:t>
            </w:r>
            <w:r/>
          </w:p>
        </w:tc>
      </w:tr>
      <w:tr>
        <w:trPr>
          <w:gridAfter w:val="1"/>
          <w:trHeight w:val="52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茴香</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38</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风味豆豉</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≥280g*24</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桂皮</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39</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香糟卤</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≥630ml*12</w:t>
            </w:r>
            <w:r/>
          </w:p>
        </w:tc>
      </w:tr>
      <w:tr>
        <w:trPr>
          <w:gridAfter w:val="1"/>
          <w:trHeight w:val="52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花椒</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40</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番茄沙司</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≥340g*24</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干辣椒</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41</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生抽</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1.9L*6</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干香菇</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42</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老抽</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1.9L*6</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干木耳</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43</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酱油</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≥640ml*12</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粉丝</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44</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蚝油</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桶</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≥6kg</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腐竹</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45</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味精</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≥500g*20</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紫菜</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包</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46</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鸡精</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≥900g*10</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梅干菜</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47</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鸡精</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≥1kg*10</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12</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无核鸡心枣</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48</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黄酒</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≥385m*40</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13</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白糖50kg</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包</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49</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黄酒</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≥400ml*30</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14</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冰糖</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酱油</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≥400ml*30</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15</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花生米</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51</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精制盐</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≥500g*40</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16</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黄豆</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52</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胡椒粉</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≥500g*12</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17</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绿豆</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53</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五香粉</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≥500g*12</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18</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小米椒</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≥2kg*6</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54</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咖喱粉</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≥500g*20</w:t>
            </w:r>
            <w:r/>
          </w:p>
        </w:tc>
      </w:tr>
      <w:tr>
        <w:trPr>
          <w:gridAfter w:val="1"/>
          <w:trHeight w:val="9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19</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麻辣香水鱼调料</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55</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蒸肉米粉</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≥125g*44</w:t>
            </w:r>
            <w:r/>
          </w:p>
        </w:tc>
      </w:tr>
      <w:tr>
        <w:trPr>
          <w:gridAfter w:val="1"/>
          <w:trHeight w:val="52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20</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白酒</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≥475ml*12</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56</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面包糠（白）</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≥750g*10</w:t>
            </w:r>
            <w:r/>
          </w:p>
        </w:tc>
      </w:tr>
      <w:tr>
        <w:trPr>
          <w:gridAfter w:val="1"/>
          <w:trHeight w:val="52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21</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番茄酱</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≥850g**12</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57</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面包糠（黄）</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≥1kg*10</w:t>
            </w:r>
            <w:r/>
          </w:p>
        </w:tc>
      </w:tr>
      <w:tr>
        <w:trPr>
          <w:gridAfter w:val="1"/>
          <w:trHeight w:val="9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22</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川味辣油</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≥160ml*12</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58</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豆沙</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23</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椒盐</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≥660g*12</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59</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酵母</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≥500g*20</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24</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三原酱椒</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≥1.1kg*8</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60</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泡打粉</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≥100g /包</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25</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糟油</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≥500ml*20</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61</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黄豆酱</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≥6kg*2</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26</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白醋</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≥500ml*12</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62</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甜面酱</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≥200g*40</w:t>
            </w:r>
            <w:r/>
          </w:p>
        </w:tc>
      </w:tr>
      <w:tr>
        <w:trPr>
          <w:gridAfter w:val="1"/>
          <w:trHeight w:val="52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27</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香醋</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≥500ml*12</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63</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辣酱油</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≥630ml*12</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28</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陈醋</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≥500ml*12</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64</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豆瓣酱</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篓</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29</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陈醋</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桶</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1.75L*6</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65</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红曲粉</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≥225g</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30</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辣酱</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≥230g*24</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66</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干酵母</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≥500g*20</w:t>
            </w:r>
            <w:r/>
          </w:p>
        </w:tc>
      </w:tr>
      <w:tr>
        <w:trPr>
          <w:gridAfter w:val="1"/>
          <w:trHeight w:val="52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31</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酱油</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≥500ml*12</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67</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吉士粉</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≥300g</w:t>
            </w:r>
            <w:r/>
          </w:p>
        </w:tc>
      </w:tr>
      <w:tr>
        <w:trPr>
          <w:gridAfter w:val="1"/>
          <w:trHeight w:val="52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32</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蒸鱼豉油</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≥450ml*12</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68</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食用小苏打</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包</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≥750g</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33</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火锅料</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≥150g*60</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69</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剁椒</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≥1kg*6</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34</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香辣酥</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≥125g*12</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35</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辣椒酱</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≥900g*24</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1"/>
          <w:trHeight w:val="300"/>
        </w:trPr>
        <w:tc>
          <w:tcPr>
            <w:gridSpan w:val="4"/>
            <w:tcBorders>
              <w:top w:val="none" w:color="000000" w:sz="4" w:space="0"/>
              <w:left w:val="single" w:color="000000" w:sz="8"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36</w:t>
            </w:r>
            <w:r/>
          </w:p>
        </w:tc>
        <w:tc>
          <w:tcPr>
            <w:gridSpan w:val="3"/>
            <w:tcBorders>
              <w:top w:val="none" w:color="000000" w:sz="4" w:space="0"/>
              <w:left w:val="none" w:color="000000" w:sz="4" w:space="0"/>
              <w:bottom w:val="single" w:color="000000" w:sz="8" w:space="0"/>
              <w:right w:val="single" w:color="000000" w:sz="8" w:space="0"/>
            </w:tcBorders>
            <w:tcW w:w="17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味精</w:t>
            </w:r>
            <w:r/>
          </w:p>
        </w:tc>
        <w:tc>
          <w:tcPr>
            <w:gridSpan w:val="5"/>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箱</w:t>
            </w:r>
            <w:r/>
          </w:p>
        </w:tc>
        <w:tc>
          <w:tcPr>
            <w:gridSpan w:val="9"/>
            <w:tcBorders>
              <w:top w:val="none" w:color="000000" w:sz="4" w:space="0"/>
              <w:left w:val="none" w:color="000000" w:sz="4" w:space="0"/>
              <w:bottom w:val="single" w:color="000000" w:sz="8" w:space="0"/>
              <w:right w:val="single" w:color="000000" w:sz="8" w:space="0"/>
            </w:tcBorders>
            <w:tcW w:w="1349"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≥500g*20</w:t>
            </w:r>
            <w:r/>
          </w:p>
        </w:tc>
        <w:tc>
          <w:tcPr>
            <w:gridSpan w:val="4"/>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3"/>
            <w:tcBorders>
              <w:top w:val="none" w:color="000000" w:sz="4" w:space="0"/>
              <w:left w:val="none" w:color="000000" w:sz="4" w:space="0"/>
              <w:bottom w:val="single" w:color="000000" w:sz="8" w:space="0"/>
              <w:right w:val="single" w:color="000000" w:sz="8" w:space="0"/>
            </w:tcBorders>
            <w:tcW w:w="1697"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5"/>
            <w:tcBorders>
              <w:top w:val="none" w:color="000000" w:sz="4" w:space="0"/>
              <w:left w:val="none" w:color="000000" w:sz="4" w:space="0"/>
              <w:bottom w:val="single" w:color="000000" w:sz="8" w:space="0"/>
              <w:right w:val="single" w:color="000000" w:sz="8" w:space="0"/>
            </w:tcBorders>
            <w:tcW w:w="65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4"/>
            <w:tcBorders>
              <w:top w:val="none" w:color="000000" w:sz="4" w:space="0"/>
              <w:left w:val="none" w:color="000000" w:sz="4" w:space="0"/>
              <w:bottom w:val="single" w:color="000000" w:sz="8" w:space="0"/>
              <w:right w:val="single" w:color="000000" w:sz="8" w:space="0"/>
            </w:tcBorders>
            <w:tcW w:w="130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15"/>
        </w:trPr>
        <w:tc>
          <w:tcPr>
            <w:gridSpan w:val="36"/>
            <w:tcBorders>
              <w:top w:val="single" w:color="000000" w:sz="8" w:space="0"/>
              <w:left w:val="single" w:color="000000" w:sz="8" w:space="0"/>
              <w:bottom w:val="single" w:color="000000" w:sz="8" w:space="0"/>
              <w:right w:val="single" w:color="000000" w:sz="8" w:space="0"/>
            </w:tcBorders>
            <w:tcW w:w="8522"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果  蔬  类</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序号</w:t>
            </w:r>
            <w:r/>
          </w:p>
        </w:tc>
        <w:tc>
          <w:tcPr>
            <w:gridSpan w:val="4"/>
            <w:tcBorders>
              <w:top w:val="none" w:color="000000" w:sz="4" w:space="0"/>
              <w:left w:val="none" w:color="000000" w:sz="4" w:space="0"/>
              <w:bottom w:val="single" w:color="000000" w:sz="8" w:space="0"/>
              <w:right w:val="single" w:color="000000" w:sz="8" w:space="0"/>
            </w:tcBorders>
            <w:tcW w:w="1713"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品名</w:t>
            </w:r>
            <w:r/>
          </w:p>
        </w:tc>
        <w:tc>
          <w:tcPr>
            <w:gridSpan w:val="8"/>
            <w:tcBorders>
              <w:top w:val="none" w:color="000000" w:sz="4" w:space="0"/>
              <w:left w:val="none" w:color="000000" w:sz="4" w:space="0"/>
              <w:bottom w:val="single" w:color="000000" w:sz="8" w:space="0"/>
              <w:right w:val="single" w:color="000000" w:sz="8" w:space="0"/>
            </w:tcBorders>
            <w:tcW w:w="788"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单位</w:t>
            </w:r>
            <w:r/>
          </w:p>
        </w:tc>
        <w:tc>
          <w:tcPr>
            <w:gridSpan w:val="2"/>
            <w:shd w:val="clear" w:color="auto" w:fill="ffffff"/>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备注</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序号</w:t>
            </w:r>
            <w:r/>
          </w:p>
        </w:tc>
        <w:tc>
          <w:tcPr>
            <w:gridSpan w:val="4"/>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品名</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单位</w:t>
            </w:r>
            <w:r/>
          </w:p>
        </w:tc>
        <w:tc>
          <w:tcPr>
            <w:gridSpan w:val="3"/>
            <w:shd w:val="clear" w:color="auto" w:fill="ffffff"/>
            <w:tcBorders>
              <w:top w:val="none" w:color="000000" w:sz="4" w:space="0"/>
              <w:left w:val="none" w:color="000000" w:sz="4" w:space="0"/>
              <w:bottom w:val="single" w:color="000000" w:sz="8" w:space="0"/>
              <w:right w:val="single" w:color="000000" w:sz="8" w:space="0"/>
            </w:tcBorders>
            <w:tcW w:w="1068" w:type="dxa"/>
            <w:vAlign w:val="center"/>
            <w:textDirection w:val="lrTb"/>
            <w:noWrap w:val="false"/>
          </w:tcPr>
          <w:p>
            <w:pPr>
              <w:pStyle w:val="1233"/>
              <w:jc w:val="center"/>
              <w:spacing w:before="120"/>
              <w:rPr>
                <w:rFonts w:ascii="宋体" w:hAnsi="宋体" w:eastAsia="宋体" w:cs="宋体"/>
                <w:sz w:val="24"/>
                <w:szCs w:val="24"/>
              </w:rPr>
              <w:framePr w:hSpace="180" w:wrap="around" w:vAnchor="text" w:hAnchor="page" w:x="1890" w:y="318"/>
            </w:pPr>
            <w:r>
              <w:rPr>
                <w:rFonts w:ascii="宋体" w:hAnsi="宋体" w:eastAsia="宋体" w:cs="宋体"/>
                <w:sz w:val="24"/>
                <w:szCs w:val="24"/>
              </w:rPr>
              <w:t xml:space="preserve">备注</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大白菜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64</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蘑菇（无根）</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小白菜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65</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蘑菇（有根）</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杭白菜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66</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紫角叶</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小青菜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67</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扁豆</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上海青</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68</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鲜毛豆子</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大青菜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69</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新藕</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鸡毛菜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70</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花菜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扁包菜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71</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有机花菜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兰州包菜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72</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白空心菜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红苋菜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73</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扁卜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生菜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74</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荠菜（新鲜）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12</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菠菜（小）</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75</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金花菜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13</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菠菜（中）</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76</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油麦菜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14</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新蒜苔</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77</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有根大蒜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15</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韭菜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78</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老姜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16</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韭黄</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79</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香菜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17</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韭菜花</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80</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香葱</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18</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土豆</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81</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京葱</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19</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白萝卜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82</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红洋葱</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20</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胡萝卜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83</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大蒜子</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21</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茄子（长红）</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84</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莼菜（新鲜）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22</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冬瓜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85</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芥兰</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23</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丝瓜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86</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芦笋</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24</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苦瓜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87</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娃娃菜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25</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长黄南瓜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88</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茼蒿</w:t>
            </w:r>
            <w:r/>
          </w:p>
        </w:tc>
        <w:tc>
          <w:tcPr>
            <w:gridSpan w:val="5"/>
            <w:tcBorders>
              <w:top w:val="none" w:color="000000" w:sz="4" w:space="0"/>
              <w:left w:val="none" w:color="000000" w:sz="4" w:space="0"/>
              <w:bottom w:val="single" w:color="000000" w:sz="8" w:space="0"/>
              <w:right w:val="single" w:color="000000" w:sz="8" w:space="0"/>
            </w:tcBorders>
            <w:tcW w:w="661"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26</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西葫芦</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89</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马兰头</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27</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西红柿</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90</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山药</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28</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青椒</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91</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铁棍山药</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29</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薄皮青椒</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92</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香椿头</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30</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红椒</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93</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沙姜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31</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青尖椒(线椒)</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94</w:t>
            </w:r>
            <w:r/>
          </w:p>
        </w:tc>
        <w:tc>
          <w:tcPr>
            <w:gridSpan w:val="4"/>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70#苹果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32</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红尖椒</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95</w:t>
            </w:r>
            <w:r/>
          </w:p>
        </w:tc>
        <w:tc>
          <w:tcPr>
            <w:gridSpan w:val="4"/>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80#苹果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33</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西兰花</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96</w:t>
            </w:r>
            <w:r/>
          </w:p>
        </w:tc>
        <w:tc>
          <w:tcPr>
            <w:gridSpan w:val="4"/>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90#苹果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34</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黄瓜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97</w:t>
            </w:r>
            <w:r/>
          </w:p>
        </w:tc>
        <w:tc>
          <w:tcPr>
            <w:gridSpan w:val="4"/>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普通西瓜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35</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刀豆</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98</w:t>
            </w:r>
            <w:r/>
          </w:p>
        </w:tc>
        <w:tc>
          <w:tcPr>
            <w:gridSpan w:val="4"/>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千禧番茄</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36</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长豇豆</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99</w:t>
            </w:r>
            <w:r/>
          </w:p>
        </w:tc>
        <w:tc>
          <w:tcPr>
            <w:gridSpan w:val="4"/>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巨峰葡萄</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37</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四季豆</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100</w:t>
            </w:r>
            <w:r/>
          </w:p>
        </w:tc>
        <w:tc>
          <w:tcPr>
            <w:gridSpan w:val="4"/>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水果黄瓜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38</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糯玉米棒</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101</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国产香蕉</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39</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水芹</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102</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火龙果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40</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药芹</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103</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哈密瓜</w:t>
            </w:r>
            <w:r/>
          </w:p>
        </w:tc>
        <w:tc>
          <w:tcPr>
            <w:gridSpan w:val="5"/>
            <w:tcBorders>
              <w:top w:val="none" w:color="000000" w:sz="4" w:space="0"/>
              <w:left w:val="none" w:color="000000" w:sz="4" w:space="0"/>
              <w:bottom w:val="single" w:color="000000" w:sz="8" w:space="0"/>
              <w:right w:val="single" w:color="000000" w:sz="8" w:space="0"/>
            </w:tcBorders>
            <w:tcW w:w="661"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41</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芹菜</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104</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光菠萝</w:t>
            </w:r>
            <w:r/>
          </w:p>
        </w:tc>
        <w:tc>
          <w:tcPr>
            <w:gridSpan w:val="5"/>
            <w:tcBorders>
              <w:top w:val="none" w:color="000000" w:sz="4" w:space="0"/>
              <w:left w:val="none" w:color="000000" w:sz="4" w:space="0"/>
              <w:bottom w:val="single" w:color="000000" w:sz="8" w:space="0"/>
              <w:right w:val="single" w:color="000000" w:sz="8" w:space="0"/>
            </w:tcBorders>
            <w:tcW w:w="661"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42</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芋艿(毛)</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105</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猕猴桃</w:t>
            </w:r>
            <w:r/>
          </w:p>
        </w:tc>
        <w:tc>
          <w:tcPr>
            <w:gridSpan w:val="5"/>
            <w:tcBorders>
              <w:top w:val="none" w:color="000000" w:sz="4" w:space="0"/>
              <w:left w:val="none" w:color="000000" w:sz="4" w:space="0"/>
              <w:bottom w:val="single" w:color="000000" w:sz="8" w:space="0"/>
              <w:right w:val="single" w:color="000000" w:sz="8" w:space="0"/>
            </w:tcBorders>
            <w:tcW w:w="661"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个</w:t>
            </w:r>
            <w:r/>
          </w:p>
        </w:tc>
        <w:tc>
          <w:tcPr>
            <w:gridSpan w:val="3"/>
            <w:tcBorders>
              <w:top w:val="none" w:color="000000" w:sz="4" w:space="0"/>
              <w:left w:val="none" w:color="000000" w:sz="4" w:space="0"/>
              <w:bottom w:val="single" w:color="000000" w:sz="8" w:space="0"/>
              <w:right w:val="single" w:color="000000" w:sz="8" w:space="0"/>
            </w:tcBorders>
            <w:tcW w:w="10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43</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西芹</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106</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龙眼</w:t>
            </w:r>
            <w:r/>
          </w:p>
        </w:tc>
        <w:tc>
          <w:tcPr>
            <w:gridSpan w:val="5"/>
            <w:tcBorders>
              <w:top w:val="none" w:color="000000" w:sz="4" w:space="0"/>
              <w:left w:val="none" w:color="000000" w:sz="4" w:space="0"/>
              <w:bottom w:val="single" w:color="000000" w:sz="8" w:space="0"/>
              <w:right w:val="single" w:color="000000" w:sz="8" w:space="0"/>
            </w:tcBorders>
            <w:tcW w:w="661"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44</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百合（袋装）</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袋</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107</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小香梨</w:t>
            </w:r>
            <w:r/>
          </w:p>
        </w:tc>
        <w:tc>
          <w:tcPr>
            <w:gridSpan w:val="5"/>
            <w:tcBorders>
              <w:top w:val="none" w:color="000000" w:sz="4" w:space="0"/>
              <w:left w:val="none" w:color="000000" w:sz="4" w:space="0"/>
              <w:bottom w:val="single" w:color="000000" w:sz="8" w:space="0"/>
              <w:right w:val="single" w:color="000000" w:sz="8" w:space="0"/>
            </w:tcBorders>
            <w:tcW w:w="661"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framePr w:hSpace="180" w:wrap="around" w:vAnchor="text" w:hAnchor="page" w:x="1890" w:y="318"/>
            </w:pPr>
            <w:r>
              <w:rPr>
                <w:rFonts w:ascii="宋体" w:hAnsi="宋体" w:eastAsia="宋体" w:cs="宋体"/>
                <w:b w:val="0"/>
                <w:bCs w:val="0"/>
                <w:sz w:val="24"/>
                <w:szCs w:val="24"/>
              </w:rPr>
              <w:t xml:space="preserve">45</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蚕豆（带壳）</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108</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特小凤西瓜</w:t>
            </w:r>
            <w:r/>
          </w:p>
        </w:tc>
        <w:tc>
          <w:tcPr>
            <w:gridSpan w:val="5"/>
            <w:tcBorders>
              <w:top w:val="none" w:color="000000" w:sz="4" w:space="0"/>
              <w:left w:val="none" w:color="000000" w:sz="4" w:space="0"/>
              <w:bottom w:val="single" w:color="000000" w:sz="8" w:space="0"/>
              <w:right w:val="single" w:color="000000" w:sz="8" w:space="0"/>
            </w:tcBorders>
            <w:tcW w:w="661"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46</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菜尖</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109</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绿宝石香瓜</w:t>
            </w:r>
            <w:r/>
          </w:p>
        </w:tc>
        <w:tc>
          <w:tcPr>
            <w:gridSpan w:val="5"/>
            <w:tcBorders>
              <w:top w:val="none" w:color="000000" w:sz="4" w:space="0"/>
              <w:left w:val="none" w:color="000000" w:sz="4" w:space="0"/>
              <w:bottom w:val="single" w:color="000000" w:sz="8" w:space="0"/>
              <w:right w:val="single" w:color="000000" w:sz="8" w:space="0"/>
            </w:tcBorders>
            <w:tcW w:w="661"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47</w:t>
            </w:r>
            <w:r/>
          </w:p>
        </w:tc>
        <w:tc>
          <w:tcPr>
            <w:gridSpan w:val="7"/>
            <w:shd w:val="clear" w:color="auto" w:fill="ffffff"/>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莴笋（光）</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110</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东方蜜香瓜</w:t>
            </w:r>
            <w:r/>
          </w:p>
        </w:tc>
        <w:tc>
          <w:tcPr>
            <w:gridSpan w:val="5"/>
            <w:tcBorders>
              <w:top w:val="none" w:color="000000" w:sz="4" w:space="0"/>
              <w:left w:val="none" w:color="000000" w:sz="4" w:space="0"/>
              <w:bottom w:val="single" w:color="000000" w:sz="8" w:space="0"/>
              <w:right w:val="single" w:color="000000" w:sz="8" w:space="0"/>
            </w:tcBorders>
            <w:tcW w:w="661"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48</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马蹄(光)</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111</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国产红提</w:t>
            </w:r>
            <w:r/>
          </w:p>
        </w:tc>
        <w:tc>
          <w:tcPr>
            <w:gridSpan w:val="5"/>
            <w:tcBorders>
              <w:top w:val="none" w:color="000000" w:sz="4" w:space="0"/>
              <w:left w:val="none" w:color="000000" w:sz="4" w:space="0"/>
              <w:bottom w:val="single" w:color="000000" w:sz="8" w:space="0"/>
              <w:right w:val="single" w:color="000000" w:sz="8" w:space="0"/>
            </w:tcBorders>
            <w:tcW w:w="661"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49</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茭白(光)</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112</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小台芒</w:t>
            </w:r>
            <w:r/>
          </w:p>
        </w:tc>
        <w:tc>
          <w:tcPr>
            <w:gridSpan w:val="5"/>
            <w:tcBorders>
              <w:top w:val="none" w:color="000000" w:sz="4" w:space="0"/>
              <w:left w:val="none" w:color="000000" w:sz="4" w:space="0"/>
              <w:bottom w:val="single" w:color="000000" w:sz="8" w:space="0"/>
              <w:right w:val="single" w:color="000000" w:sz="8" w:space="0"/>
            </w:tcBorders>
            <w:tcW w:w="661"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50</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大茨菇（光）</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113</w:t>
            </w:r>
            <w:r/>
          </w:p>
        </w:tc>
        <w:tc>
          <w:tcPr>
            <w:gridSpan w:val="4"/>
            <w:shd w:val="clear" w:color="auto" w:fill="ffffff"/>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青雪菜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51</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黄豆芽</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114</w:t>
            </w:r>
            <w:r/>
          </w:p>
        </w:tc>
        <w:tc>
          <w:tcPr>
            <w:gridSpan w:val="4"/>
            <w:shd w:val="clear" w:color="auto" w:fill="ffffff"/>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黄雪菜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52</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绿豆芽</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115</w:t>
            </w:r>
            <w:r/>
          </w:p>
        </w:tc>
        <w:tc>
          <w:tcPr>
            <w:gridSpan w:val="4"/>
            <w:shd w:val="clear" w:color="auto" w:fill="ffffff"/>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榨菜丝</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53</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山芋（黄心）</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116</w:t>
            </w:r>
            <w:r/>
          </w:p>
        </w:tc>
        <w:tc>
          <w:tcPr>
            <w:gridSpan w:val="4"/>
            <w:shd w:val="clear" w:color="auto" w:fill="ffffff"/>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榨菜头</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54</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紫山芋</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117</w:t>
            </w:r>
            <w:r/>
          </w:p>
        </w:tc>
        <w:tc>
          <w:tcPr>
            <w:gridSpan w:val="4"/>
            <w:shd w:val="clear" w:color="auto" w:fill="ffffff"/>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酸豆角</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--斤/箱</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55</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平菇</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118</w:t>
            </w:r>
            <w:r/>
          </w:p>
        </w:tc>
        <w:tc>
          <w:tcPr>
            <w:gridSpan w:val="4"/>
            <w:shd w:val="clear" w:color="auto" w:fill="ffffff"/>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酸菜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--斤/箱</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56</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小平菇</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119</w:t>
            </w:r>
            <w:r/>
          </w:p>
        </w:tc>
        <w:tc>
          <w:tcPr>
            <w:gridSpan w:val="4"/>
            <w:shd w:val="clear" w:color="auto" w:fill="ffffff"/>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普通萝卜干</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57</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茶树菇</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120</w:t>
            </w:r>
            <w:r/>
          </w:p>
        </w:tc>
        <w:tc>
          <w:tcPr>
            <w:gridSpan w:val="4"/>
            <w:shd w:val="clear" w:color="auto" w:fill="ffffff"/>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萧山萝卜干</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58</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金针菇</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121</w:t>
            </w:r>
            <w:r/>
          </w:p>
        </w:tc>
        <w:tc>
          <w:tcPr>
            <w:gridSpan w:val="4"/>
            <w:shd w:val="clear" w:color="auto" w:fill="ffffff"/>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五香萝卜干</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59</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杏鲍菇</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122</w:t>
            </w:r>
            <w:r/>
          </w:p>
        </w:tc>
        <w:tc>
          <w:tcPr>
            <w:gridSpan w:val="4"/>
            <w:shd w:val="clear" w:color="auto" w:fill="ffffff"/>
            <w:tcBorders>
              <w:top w:val="none" w:color="000000" w:sz="4" w:space="0"/>
              <w:left w:val="none" w:color="000000" w:sz="4" w:space="0"/>
              <w:bottom w:val="single" w:color="000000" w:sz="8" w:space="0"/>
              <w:right w:val="single" w:color="000000" w:sz="8" w:space="0"/>
            </w:tcBorders>
            <w:tcW w:w="177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什锦菜</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60</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鲜香菇</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123</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扁尖丝</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--斤/箱</w:t>
            </w:r>
            <w:r/>
          </w:p>
        </w:tc>
      </w:tr>
      <w:tr>
        <w:trPr>
          <w:gridAfter w:val="2"/>
          <w:trHeight w:val="300"/>
        </w:trPr>
        <w:tc>
          <w:tcPr>
            <w:gridSpan w:val="4"/>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61</w:t>
            </w:r>
            <w:r/>
          </w:p>
        </w:tc>
        <w:tc>
          <w:tcPr>
            <w:gridSpan w:val="7"/>
            <w:tcBorders>
              <w:top w:val="none" w:color="000000" w:sz="4" w:space="0"/>
              <w:left w:val="none" w:color="000000" w:sz="4" w:space="0"/>
              <w:bottom w:val="single" w:color="000000" w:sz="8"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白玉菇</w:t>
            </w:r>
            <w:r/>
          </w:p>
        </w:tc>
        <w:tc>
          <w:tcPr>
            <w:gridSpan w:val="5"/>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124</w:t>
            </w:r>
            <w:r/>
          </w:p>
        </w:tc>
        <w:tc>
          <w:tcPr>
            <w:gridSpan w:val="4"/>
            <w:tcBorders>
              <w:top w:val="none" w:color="000000" w:sz="4" w:space="0"/>
              <w:left w:val="none" w:color="000000" w:sz="4" w:space="0"/>
              <w:bottom w:val="single" w:color="000000" w:sz="8"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清水笋</w:t>
            </w:r>
            <w:r/>
          </w:p>
        </w:tc>
        <w:tc>
          <w:tcPr>
            <w:gridSpan w:val="5"/>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--斤/桶</w:t>
            </w:r>
            <w:r/>
          </w:p>
        </w:tc>
      </w:tr>
      <w:tr>
        <w:trPr>
          <w:gridAfter w:val="2"/>
          <w:trHeight w:val="300"/>
        </w:trPr>
        <w:tc>
          <w:tcPr>
            <w:gridSpan w:val="4"/>
            <w:tcBorders>
              <w:top w:val="none" w:color="000000" w:sz="4" w:space="0"/>
              <w:left w:val="single" w:color="000000" w:sz="8" w:space="0"/>
              <w:bottom w:val="single" w:color="000000" w:sz="4" w:space="0"/>
              <w:right w:val="single" w:color="000000" w:sz="8"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62</w:t>
            </w:r>
            <w:r/>
          </w:p>
        </w:tc>
        <w:tc>
          <w:tcPr>
            <w:gridSpan w:val="7"/>
            <w:tcBorders>
              <w:top w:val="none" w:color="000000" w:sz="4" w:space="0"/>
              <w:left w:val="none" w:color="000000" w:sz="4" w:space="0"/>
              <w:bottom w:val="single" w:color="000000" w:sz="4" w:space="0"/>
              <w:right w:val="single" w:color="000000" w:sz="8"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海鲜菇</w:t>
            </w:r>
            <w:r/>
          </w:p>
        </w:tc>
        <w:tc>
          <w:tcPr>
            <w:gridSpan w:val="5"/>
            <w:tcBorders>
              <w:top w:val="none" w:color="000000" w:sz="4" w:space="0"/>
              <w:left w:val="none" w:color="000000" w:sz="4" w:space="0"/>
              <w:bottom w:val="single" w:color="000000" w:sz="4" w:space="0"/>
              <w:right w:val="single" w:color="000000" w:sz="8"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none" w:color="000000" w:sz="4" w:space="0"/>
              <w:left w:val="none" w:color="000000" w:sz="4" w:space="0"/>
              <w:bottom w:val="single" w:color="000000" w:sz="4" w:space="0"/>
              <w:right w:val="single" w:color="000000" w:sz="8"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none" w:color="000000" w:sz="4" w:space="0"/>
              <w:left w:val="none" w:color="000000" w:sz="4" w:space="0"/>
              <w:bottom w:val="single" w:color="000000" w:sz="4" w:space="0"/>
              <w:right w:val="single" w:color="000000" w:sz="8"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125</w:t>
            </w:r>
            <w:r/>
          </w:p>
        </w:tc>
        <w:tc>
          <w:tcPr>
            <w:gridSpan w:val="4"/>
            <w:tcBorders>
              <w:top w:val="none" w:color="000000" w:sz="4" w:space="0"/>
              <w:left w:val="none" w:color="000000" w:sz="4" w:space="0"/>
              <w:bottom w:val="single" w:color="000000" w:sz="4" w:space="0"/>
              <w:right w:val="single" w:color="000000" w:sz="8"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清水笋丝</w:t>
            </w:r>
            <w:r/>
          </w:p>
        </w:tc>
        <w:tc>
          <w:tcPr>
            <w:gridSpan w:val="5"/>
            <w:tcBorders>
              <w:top w:val="none" w:color="000000" w:sz="4" w:space="0"/>
              <w:left w:val="none" w:color="000000" w:sz="4" w:space="0"/>
              <w:bottom w:val="single" w:color="000000" w:sz="4" w:space="0"/>
              <w:right w:val="single" w:color="000000" w:sz="8"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3"/>
            <w:tcBorders>
              <w:top w:val="none" w:color="000000" w:sz="4" w:space="0"/>
              <w:left w:val="none" w:color="000000" w:sz="4" w:space="0"/>
              <w:bottom w:val="single" w:color="000000" w:sz="4" w:space="0"/>
              <w:right w:val="single" w:color="000000" w:sz="8"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--斤/箱</w:t>
            </w:r>
            <w:r/>
          </w:p>
        </w:tc>
      </w:tr>
      <w:tr>
        <w:trPr>
          <w:gridAfter w:val="2"/>
          <w:trHeight w:val="300"/>
        </w:trPr>
        <w:tc>
          <w:tcPr>
            <w:gridSpan w:val="4"/>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63</w:t>
            </w:r>
            <w:r/>
          </w:p>
        </w:tc>
        <w:tc>
          <w:tcPr>
            <w:gridSpan w:val="7"/>
            <w:tcBorders>
              <w:top w:val="single" w:color="000000" w:sz="4" w:space="0"/>
              <w:left w:val="single" w:color="000000" w:sz="4" w:space="0"/>
              <w:bottom w:val="single" w:color="000000" w:sz="4" w:space="0"/>
              <w:right w:val="single" w:color="000000" w:sz="4" w:space="0"/>
            </w:tcBorders>
            <w:tcW w:w="189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袖珍菇</w:t>
            </w:r>
            <w:r/>
          </w:p>
        </w:tc>
        <w:tc>
          <w:tcPr>
            <w:gridSpan w:val="5"/>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斤</w:t>
            </w:r>
            <w:r/>
          </w:p>
        </w:tc>
        <w:tc>
          <w:tcPr>
            <w:gridSpan w:val="2"/>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t xml:space="preserve">　</w:t>
            </w:r>
            <w:r/>
          </w:p>
        </w:tc>
        <w:tc>
          <w:tcPr>
            <w:gridSpan w:val="6"/>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4"/>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5"/>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c>
          <w:tcPr>
            <w:gridSpan w:val="3"/>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b w:val="0"/>
                <w:bCs w:val="0"/>
                <w:sz w:val="24"/>
                <w:szCs w:val="24"/>
              </w:rPr>
            </w:r>
            <w:r/>
          </w:p>
        </w:tc>
      </w:tr>
      <w:tr>
        <w:trPr>
          <w:gridAfter w:val="2"/>
          <w:trHeight w:val="300"/>
        </w:trPr>
        <w:tc>
          <w:tcPr>
            <w:gridSpan w:val="36"/>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pStyle w:val="1233"/>
              <w:spacing w:before="120"/>
              <w:rPr>
                <w:rFonts w:ascii="宋体" w:hAnsi="宋体" w:eastAsia="宋体" w:cs="宋体"/>
                <w:b w:val="0"/>
                <w:bCs w:val="0"/>
                <w:sz w:val="24"/>
                <w:szCs w:val="24"/>
              </w:rPr>
              <w:framePr w:hSpace="180" w:wrap="around" w:vAnchor="text" w:hAnchor="page" w:x="1890" w:y="318"/>
            </w:pPr>
            <w:r>
              <w:rPr>
                <w:rFonts w:ascii="宋体" w:hAnsi="宋体" w:eastAsia="宋体" w:cs="宋体"/>
                <w:sz w:val="24"/>
                <w:szCs w:val="24"/>
              </w:rPr>
              <w:t xml:space="preserve">备注：蔬菜水果新鲜，需保持良好的色泽和新鲜度，经过初步加工整理，除去泥、沙、黄叶、烂叶及老叶等后的合格率（净重）不得低于配送数量的98%。</w:t>
            </w:r>
            <w:r>
              <w:rPr>
                <w:rFonts w:ascii="宋体" w:hAnsi="宋体" w:eastAsia="宋体" w:cs="宋体"/>
                <w:b w:val="0"/>
                <w:bCs w:val="0"/>
                <w:sz w:val="24"/>
                <w:szCs w:val="24"/>
              </w:rPr>
            </w:r>
            <w:r/>
          </w:p>
        </w:tc>
      </w:tr>
    </w:tbl>
    <w:p>
      <w:pPr>
        <w:pStyle w:val="1233"/>
        <w:ind w:firstLine="482"/>
        <w:spacing w:before="120" w:line="360" w:lineRule="auto"/>
        <w:rPr>
          <w:rFonts w:ascii="宋体" w:hAnsi="宋体" w:eastAsia="宋体" w:cs="宋体"/>
          <w:sz w:val="24"/>
          <w:szCs w:val="24"/>
        </w:rPr>
      </w:pPr>
      <w:r>
        <w:rPr>
          <w:rFonts w:ascii="宋体" w:hAnsi="宋体" w:eastAsia="宋体" w:cs="宋体"/>
          <w:sz w:val="24"/>
          <w:szCs w:val="24"/>
        </w:rPr>
        <w:t xml:space="preserve">注：上述清单中的具体品目以市面常见食材类型作为参考，每日份具体配送种类及数量以采购方与供应商约定的为准。</w:t>
      </w:r>
      <w:r/>
    </w:p>
    <w:p>
      <w:pPr>
        <w:pStyle w:val="723"/>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七、采购标准</w:t>
      </w:r>
      <w:r>
        <w:rPr>
          <w:rFonts w:ascii="宋体" w:hAnsi="宋体" w:eastAsia="宋体" w:cs="宋体"/>
          <w:b/>
          <w:bCs/>
          <w:sz w:val="24"/>
          <w:szCs w:val="24"/>
        </w:rPr>
      </w:r>
      <w:r/>
    </w:p>
    <w:p>
      <w:pPr>
        <w:pStyle w:val="723"/>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1、配送质量要求：</w:t>
      </w:r>
      <w:r/>
    </w:p>
    <w:p>
      <w:pPr>
        <w:pStyle w:val="723"/>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1.1肉、禽、蛋、水产等必须具有检验检疫合格证明或化验单。 </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1.2面粉、食用油、豆制品、辅料、半成品必须具有“SC”食品质量安全认证。</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1.3蔬菜必须保证新鲜，按供货批次提供农贸市场蔬菜农药检测结果，且符合食品卫生安全法要求。</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1.4采购货源必须持有与销售内容相对应的有效营业执照，《食品经营许可证》。</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1.5供应商负责供货产品的食品安全，须做到来源可溯。 </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1.6本项目所供食材保质期不得低于标明的保质期限的1/2。</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2.对配送产品品质的基本要求：</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b/>
          <w:bCs/>
          <w:sz w:val="24"/>
          <w:szCs w:val="24"/>
        </w:rPr>
        <w:t xml:space="preserve">质量标准</w:t>
      </w:r>
      <w:r>
        <w:rPr>
          <w:rFonts w:hint="eastAsia" w:ascii="宋体" w:hAnsi="宋体" w:eastAsia="宋体" w:cs="宋体"/>
          <w:sz w:val="24"/>
          <w:szCs w:val="24"/>
        </w:rPr>
        <w:t xml:space="preserve">：★</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2.1.1蔬菜质量标准：</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2.1.1.1无公害蔬菜质量要求：无公害蔬菜必须保证新鲜、无黄叶枯叶、叶面干净无明显泥土，各类品种齐全。</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2.1.1.2去皮蔬菜要求：将日常去皮的蔬菜（丝瓜，土豆，冬瓜，茄子，黄瓜）去皮，保持表面干净，不腐烂变质。</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2.1.2水果质量标准：当季新鲜水果，无腐烂现象；农业残留符合NY/T 435-2021标准。</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2.1.3禽蛋质量要求：禽蛋必须保证新鲜，无破损，禽蛋等新鲜蛋类必须符合</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"http://down.foodmate.net/standard/sort/3/48415.html" \o "http://down.foodmate.net/standard/sort/3/48415.html"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GB2749-2015《食品安全国家标准 蛋与蛋制品》标准。</w:t>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2.1.4肉（含猪、牛）质量标准：使用冷鲜肉品牌产品，质</w:t>
      </w:r>
      <w:r>
        <w:rPr>
          <w:rFonts w:hint="eastAsia" w:ascii="宋体" w:hAnsi="宋体" w:eastAsia="宋体" w:cs="宋体"/>
          <w:sz w:val="24"/>
          <w:szCs w:val="24"/>
        </w:rPr>
        <w:t xml:space="preserve">量必须符合GB/T 9959.1-2019标准、GB/T 17238-2022《鲜、冻分割牛肉》等国家标准，主要产品包括大排、肉丝、肉片、方肉、小排、肉糜等。其中排肉是指无骨腿肉和无骨夹心肉，其中腿肉要求剔除大股骨，夹心肉要求割除下懒肉，整方供应，并提供《动物或动物产品分销信息凭证》或《动物检疫合格证》和《肉品品质检验合格证》及其它相关证明材料。提供的生猪应由规模养殖场提供经农业部门检测、检疫合格的鲜活健康猪源，经定点屠宰厂屠宰加工并检验合格；供货工具必须符合卫生要求，不得与其它货物混装，防止肉品二次污染。</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2.1.5水产品质量要求：</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2.1.5.1鲜活水产类：鲜活、鳞片齐全、无血迹、无异味，必须符合GB 2733-2015《食品安全国家标准 鲜、冻动物性水产品》等。产品的感观、安全、卫生、稳定性等指标符合相关规定。</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2.1.5.2冻鱼类：必须符合GB 2733-2015《食品安全国家标准 鲜、冻动物性水产品》、GB/T 18109-2011《冻鱼》。产品的感观、安全、卫生、稳定性等指标符合相关规定。</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2.1.5.3其他：其他水产品符合GB 19643-2016《食品安全国家标准 藻类及其制品》等相关国家标准。</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2.1.6调味品（食盐除外）质量要求：酱油符合GB 18186-2000《酿造酱油》标准，味精符合《食品安全国家标准 味精》标准，生粉（淀粉制品）符合GB2713-2015标准、GB 31637-2016《食品安全国家标准 食用淀粉》标准，食糖符合GB13104-2014标准，酿造食醋符合GB18187-2000标准。</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2.1.7南北干货质量要求：应符合相关的国家或行业食品安全标准。需要分包装的产品需使用符合卫生标准的包装袋，并规定要求加贴产品信息标签。</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2.1.8速冻面米制品质量要求：必须保证为有效保质期内产品，必须符合GB 19295-2021《食品安全国家标准 速冻面米制品》标准。</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2.1.9食用油配送标准：非转基因食用油，必须符合GB 2716-2018食用植物油卫生标准，并具有“SC”食品质量安全认证或“SC食品生产许可证”。</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2.1.10大米质量要求：一年内新大米，符合GB/T 1354-2018标准，并拥有“SC”食品质量安全。</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2.1.11冷冻品质量要求：冷冻品必须保证为3个月内产品，配送公司须提供产品合格证明文件，动物产品提供《动物或动物产品分销信息凭证》或《动物检疫合格证》。</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2.1.12禽类：必须符合GB 2707-2016食品安全标准《鲜（冻）畜、禽产品》、GB 16869-2005《鲜、冻禽产品》标准，提供《动物或动物产品分销信息凭证》或《动物检疫合格证》。</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2.1.13豆制品质量要求：原料须为非转基因产品，发酵性豆制品必须符合GB2712-2014《食品安全国家标准 豆制品》标准，非发酵豆制品必须符合GB/T 22106-2008标准、GB2711-2014《食品安全国家标准 面筋制品》标准，对豆制品的有关安全健康指标符合国家规定。</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2.1.14其它类质量要求：符合相应的国家或行业食品安全标准，添加剂的使用必须符合GB2760-2014标准，对食品的添加量严格控制在标准规定范围之内。</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注：以上质量标准如有新的国家或行业标准出台，则以最新标准执行。</w:t>
      </w:r>
      <w:r>
        <w:rPr>
          <w:rFonts w:hint="eastAsia" w:ascii="宋体" w:hAnsi="宋体" w:eastAsia="宋体" w:cs="宋体"/>
          <w:sz w:val="24"/>
          <w:szCs w:val="24"/>
        </w:rPr>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b/>
          <w:bCs/>
          <w:sz w:val="24"/>
          <w:szCs w:val="24"/>
        </w:rPr>
        <w:t xml:space="preserve">配送</w:t>
      </w:r>
      <w:r>
        <w:rPr>
          <w:rFonts w:hint="eastAsia" w:ascii="宋体" w:hAnsi="宋体" w:cs="宋体"/>
          <w:sz w:val="24"/>
        </w:rPr>
        <w:t xml:space="preserve">★</w:t>
      </w:r>
      <w:r>
        <w:rPr>
          <w:rFonts w:hint="eastAsia" w:ascii="宋体" w:hAnsi="宋体" w:eastAsia="宋体" w:cs="宋体"/>
          <w:sz w:val="24"/>
          <w:szCs w:val="24"/>
        </w:rPr>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3.2.1食用油、调味品、南北干货、大米按照采购方通知送货；其它食材采购方每周五确定下一周配送单，每天送货一次，具体根据采购方需求。所有商品均须送至采购方指定地点。如有临时追加的需求以采购方要求为准。</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配送频率</w:t>
      </w:r>
      <w:r>
        <w:rPr>
          <w:rFonts w:hint="eastAsia" w:ascii="宋体" w:hAnsi="宋体" w:eastAsia="宋体" w:cs="宋体"/>
          <w:sz w:val="24"/>
          <w:szCs w:val="24"/>
        </w:rPr>
        <w:t xml:space="preserve">最低</w:t>
      </w:r>
      <w:r>
        <w:rPr>
          <w:rFonts w:hint="eastAsia" w:ascii="宋体" w:hAnsi="宋体" w:eastAsia="宋体" w:cs="宋体"/>
          <w:sz w:val="24"/>
          <w:szCs w:val="24"/>
          <w:lang w:val="zh-CN"/>
        </w:rPr>
        <w:t xml:space="preserve">要求：每天送货【1】次，应急配送的在收到通知后【0.5】小时内响应，【1】小时内完成或提出解决方案。</w:t>
      </w:r>
      <w:r>
        <w:rPr>
          <w:rFonts w:hint="eastAsia" w:ascii="宋体" w:hAnsi="宋体" w:eastAsia="宋体" w:cs="宋体"/>
          <w:sz w:val="24"/>
          <w:szCs w:val="24"/>
        </w:rPr>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3.2.2食材必须符合《中华人民共和国食品安全法》标准；每日的配送清单须是打印稿，并仔细核对采购清单，确保采购方食堂所需的食品原材料品种、品牌、规格、数量、质量等准确无误，并在规定时间内及时送达；提供商品的品牌、规格必须与合同规定一致，严禁擅自更换商品品牌、规格，如发现食材卫生质量问题或者以次充好，应无条件退货或换货，并根据合同规定进行处理。</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3.2.3严</w:t>
      </w:r>
      <w:r>
        <w:rPr>
          <w:rFonts w:hint="eastAsia" w:ascii="宋体" w:hAnsi="宋体" w:eastAsia="宋体" w:cs="宋体"/>
          <w:sz w:val="24"/>
          <w:szCs w:val="24"/>
        </w:rPr>
        <w:t xml:space="preserve">禁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3.2.4配送的食材需根据采购方的要求提供具有国家法定检测资质的第三方检测机构出具的检测报告、食材检验合格证等合格证明材料。</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3.2.5</w:t>
      </w:r>
      <w:r>
        <w:rPr>
          <w:rFonts w:hint="eastAsia" w:ascii="宋体" w:hAnsi="宋体" w:eastAsia="宋体" w:cs="宋体"/>
          <w:b/>
          <w:bCs/>
          <w:sz w:val="24"/>
          <w:szCs w:val="24"/>
        </w:rPr>
        <w:t xml:space="preserve">投标单位至少应提供【1】辆带冷藏或冷冻功能的厢式货车用于本项目配送服务。</w:t>
      </w:r>
      <w:r>
        <w:rPr>
          <w:rFonts w:hint="eastAsia" w:ascii="宋体" w:hAnsi="宋体" w:eastAsia="宋体" w:cs="宋体"/>
          <w:sz w:val="24"/>
          <w:szCs w:val="24"/>
        </w:rPr>
        <w:t xml:space="preserve">（投标文件中须提</w:t>
      </w:r>
      <w:r>
        <w:rPr>
          <w:rFonts w:hint="eastAsia" w:ascii="宋体" w:hAnsi="宋体" w:eastAsia="宋体" w:cs="宋体"/>
          <w:b/>
          <w:bCs/>
          <w:sz w:val="24"/>
          <w:szCs w:val="24"/>
        </w:rPr>
        <w:t xml:space="preserve">供相关证明材料</w:t>
      </w:r>
      <w:r>
        <w:rPr>
          <w:rFonts w:hint="eastAsia" w:ascii="宋体" w:hAnsi="宋体" w:eastAsia="宋体" w:cs="宋体"/>
          <w:sz w:val="24"/>
          <w:szCs w:val="24"/>
        </w:rPr>
        <w:t xml:space="preserve">：如为自有的，投标文件中须提供车辆行驶证及原始购买发票扫描件；如为租赁的，投标文件中须提供车辆行驶证、租赁协议及出租方原始购买发票扫描件；如承诺中标后签订合同前提供的，须在投标文件中提供书面承诺函并加盖投标单位公章，格式自拟，如在签订合同前无法提供相关证明材料的，采购方有权拒签合同。上述材料未提供或提供不全则该车辆视为无效，作无效文件处理。）</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3.2.6所投入的所有冷藏或冷冻功能的厢式货车车辆在签订合同前必须装有定位系统，车厢内安装视频监控设备。</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b/>
          <w:bCs/>
          <w:sz w:val="24"/>
          <w:szCs w:val="24"/>
        </w:rPr>
        <w:t xml:space="preserve">重量计算说明</w:t>
      </w:r>
      <w:r>
        <w:rPr>
          <w:rFonts w:hint="eastAsia" w:ascii="宋体" w:hAnsi="宋体" w:cs="宋体"/>
          <w:sz w:val="24"/>
        </w:rPr>
        <w:t xml:space="preserve">★</w:t>
      </w:r>
      <w:r>
        <w:rPr>
          <w:rFonts w:hint="eastAsia" w:ascii="宋体" w:hAnsi="宋体" w:eastAsia="宋体" w:cs="宋体"/>
          <w:sz w:val="24"/>
          <w:szCs w:val="24"/>
        </w:rPr>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3.3.1蔬菜：送至单位食堂后，经采购方经过初步加工整理，除去泥、沙、黄叶、烂叶及老叶等后的合格率（净重）不得低于配送数量的98%。</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3.3.2鱼类：送至单位食堂后，经采购方称重鲜活、鳞片齐全的鱼类，经过去除多余水分后，重量不得低于配送数量的98%。</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3.3.3禽类：送至单位食堂后，经采购方称重去内脏、表皮无毛，无血迹、无污物、无注水的禽类，重量不得低于配送数量的98%。</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4.团队人员要求：</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4.1食堂配送项目专项服务小组</w:t>
      </w:r>
      <w:r>
        <w:rPr>
          <w:rFonts w:hint="eastAsia" w:ascii="宋体" w:hAnsi="宋体" w:eastAsia="宋体" w:cs="宋体"/>
          <w:b/>
          <w:bCs/>
          <w:sz w:val="24"/>
          <w:szCs w:val="24"/>
        </w:rPr>
        <w:t xml:space="preserve">不少于【3】人</w:t>
      </w:r>
      <w:r>
        <w:rPr>
          <w:rFonts w:hint="eastAsia" w:ascii="宋体" w:hAnsi="宋体" w:eastAsia="宋体" w:cs="宋体"/>
          <w:sz w:val="24"/>
          <w:szCs w:val="24"/>
        </w:rPr>
        <w:t xml:space="preserve">，确定固定的项目负责人，负责相关工作及提供各种服务。</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4.2本项目所配备的人员须凭健康证上岗（</w:t>
      </w:r>
      <w:r>
        <w:rPr>
          <w:rFonts w:hint="eastAsia" w:ascii="宋体" w:hAnsi="宋体" w:eastAsia="宋体" w:cs="宋体"/>
          <w:b/>
          <w:bCs/>
          <w:sz w:val="24"/>
          <w:szCs w:val="24"/>
        </w:rPr>
        <w:t xml:space="preserve">需要在投标文件中提供承诺函，</w:t>
      </w:r>
      <w:r>
        <w:rPr>
          <w:rFonts w:hint="eastAsia" w:ascii="宋体" w:hAnsi="宋体" w:eastAsia="宋体" w:cs="宋体"/>
          <w:sz w:val="24"/>
          <w:szCs w:val="24"/>
        </w:rPr>
        <w:t xml:space="preserve">格式自拟）。</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5.包装要求：</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5.1包装材料应符合食品安装标准，无毒无害，避免污染食品。</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5.2包装要有良好的密封性。</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5.3包装上应表明食品的名称、产地、保质期、生产日期、成分表、储存条件等基本信息。</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5.4根据食材特性选择合适的包装。如易碎的食品要有防撞包装；易腐食品可能需要冷链包装，并且使用保温、保险材料。</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5.5包装的大小应考虑食堂使用量和操作便利性。</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6.运输要求：</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6.1温度控制：对于易腐食品，要使用冷藏车或配备足够的冷链设备来运输保持合适的低温环境；热食运输则要使用具有保温功能的设备。</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6.2卫生条件：运输车辆和容器必须保持清洁卫生，定期消毒；运输工具不能与有毒有害物品混装。</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6.3食材固定和堆放：要合理堆放食材，避免在运输过程中因碰撞、挤压导致食材损坏；对于液体食材，容器要密封良好并固定，防止泄露。</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6.4运输时间：尽量缩短运输时间，尤其是对于易腐食品，确保食材的新鲜度。</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7、验收要求★</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7.1原材料验收由采购方、中标单位、食堂使用方，三方现场检验，对供应产品的质量无异议数量准确无误后，三方签字，各自留存。</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7.2本次食堂采购验收流程分为日常验收、阶段（月度）验收、最终验收三档。</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7.2.1日常验收内容为对每日配送的食材进行检验检查，对存在问题的食材或配送流程进行处理并形成纸质台账记录在案；</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7.2.2阶段（月度）验收内容为对日常验收的相关台账资料进行检查，对配送服务进行月度打分，打分结果关系到月度付款金额比例；</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7.2.3最终验收内容为对整个项目周期的所有验收资料台账及付款结果进行核验，最终验收通过后【60】天内，退还本项目收取的履约保证金。</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7.3验收标准参考“配送质量要求及对配送产品品质的基本要求”中的标准。</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7.4食品留样要求：</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7.4.1留样食材的种类和数量。每天配送的食材必须留样，每个品种的留样量不少于100克。</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7.4.2留样程序。留样食材应按品种分别盛放于清洗消毒后的密闭专用容器内。在食材接收后第一时间进行留样操作。留样食材应立即存放在专用冷藏箱中，在0°C至5°C的条件下冷藏保存至少48小时以上。</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7.4.3留样人员的责任。留样的采集和保管必须有专人负责，无关人员不得擅自操作或挪动留样食材。</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7.4.4记录和保存。每次留样都必须详细记录，包括食材样源、食材名称、留样时间、留样人的信息等，以备检查。留样记录本的保存期限不少于十二个月。      </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7.4.5留样设施。食材留样柜必须保持全天24小时正常启用，且柜内不得存放其他生、熟食品以防交叉污染。食材留样冰箱为专用设备，严禁存放与留样食材无关的物品。</w:t>
      </w:r>
      <w:r/>
    </w:p>
    <w:p>
      <w:pPr>
        <w:pStyle w:val="1205"/>
        <w:ind w:firstLine="480"/>
        <w:jc w:val="left"/>
        <w:spacing w:line="360" w:lineRule="auto"/>
        <w:rPr>
          <w:rFonts w:ascii="宋体" w:hAnsi="宋体" w:eastAsia="宋体"/>
          <w:szCs w:val="24"/>
        </w:rPr>
      </w:pPr>
      <w:r>
        <w:rPr>
          <w:rFonts w:ascii="宋体" w:hAnsi="宋体" w:eastAsia="宋体"/>
          <w:szCs w:val="24"/>
        </w:rPr>
        <w:t xml:space="preserve">8、应急配送要求</w:t>
      </w:r>
      <w:r/>
    </w:p>
    <w:p>
      <w:pPr>
        <w:pStyle w:val="1205"/>
        <w:ind w:firstLine="480"/>
        <w:jc w:val="left"/>
        <w:spacing w:line="360" w:lineRule="auto"/>
        <w:rPr>
          <w:rFonts w:ascii="宋体" w:hAnsi="宋体" w:eastAsia="宋体"/>
          <w:szCs w:val="24"/>
        </w:rPr>
      </w:pPr>
      <w:r>
        <w:rPr>
          <w:rFonts w:ascii="宋体" w:hAnsi="宋体" w:eastAsia="宋体"/>
          <w:szCs w:val="24"/>
        </w:rPr>
        <w:t xml:space="preserve">8.1配送频率最低要求：每天送货【1】次，收到应急配送的在收到通知后【0.5】小时内响应，【1】小时内完成或提出解决方案。</w:t>
      </w:r>
      <w:r/>
    </w:p>
    <w:p>
      <w:pPr>
        <w:pStyle w:val="1205"/>
        <w:ind w:firstLine="480"/>
        <w:jc w:val="left"/>
        <w:spacing w:line="360" w:lineRule="auto"/>
        <w:rPr>
          <w:rFonts w:ascii="宋体" w:hAnsi="宋体" w:eastAsia="宋体"/>
          <w:szCs w:val="24"/>
        </w:rPr>
      </w:pPr>
      <w:r>
        <w:rPr>
          <w:rFonts w:ascii="宋体" w:hAnsi="宋体" w:eastAsia="宋体"/>
          <w:szCs w:val="24"/>
        </w:rPr>
        <w:t xml:space="preserve">8.2采购方临时增加配送需求时，中标单位应积极响应配合，在要求时间内完成符合标准的配送服务。如确因时间紧急，无法及时满足要求时，需第一时间联系采购方负责人，经采购方负责人同意后，由中标单位自行联系第三方采购，中标单位需承担一切费用。</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8.3中标单位需具有便捷下单渠道，方便采购方进行配送下单。采购方提前向供应商发送每日采购清单，采取邮件发送或微信联系等方式告知清单，供应商必须仔细核对采购清单，确保所需的食品原材料品种、规格、品牌、数量、质量等准确无误，并按投标文件内响应的时间及时送达。供应商向采购方提供商品的品牌、规格必须与合同规定一致，严禁擅自更换商品品牌、规格。</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8.4配送车辆符合国家食品运输相关规定。</w:t>
      </w:r>
      <w:r/>
    </w:p>
    <w:p>
      <w:pPr>
        <w:pStyle w:val="723"/>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八、考核要求：</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根据《食材配送情况考核表》（附件）考评打分结果计算出月度考核评分。当月度得分 【95】分（含）以上的，当月的费用按实际配送食材金额全额向供应方支付；当月度得分 【95】分（不含）—【85】分（含），支付当月费用时在合同金额中从【95】分起计，按每扣【1】 分扣除当月费用3000元后支付；当月度得分检查结果为 【85】分（不含）以下，则扣除当月费用的 50%。若月度考核评定低于【95】分，则供应方须就服务工作方面的问题向采购方提供整改报告。</w:t>
      </w:r>
      <w:r/>
    </w:p>
    <w:p>
      <w:pPr>
        <w:pStyle w:val="723"/>
        <w:rPr>
          <w:rFonts w:hint="eastAsia" w:ascii="宋体" w:hAnsi="宋体" w:eastAsia="宋体" w:cs="宋体"/>
          <w:b/>
          <w:bCs/>
          <w:spacing w:val="-1"/>
          <w:sz w:val="24"/>
          <w:szCs w:val="24"/>
        </w:rPr>
      </w:pPr>
      <w:r>
        <w:rPr>
          <w:rFonts w:hint="eastAsia" w:ascii="宋体" w:hAnsi="宋体" w:eastAsia="宋体" w:cs="宋体"/>
          <w:b/>
          <w:bCs/>
          <w:spacing w:val="-1"/>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588"/>
        <w:gridCol w:w="6174"/>
        <w:gridCol w:w="703"/>
        <w:gridCol w:w="967"/>
      </w:tblGrid>
      <w:tr>
        <w:trPr>
          <w:trHeight w:val="6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23"/>
              <w:jc w:val="center"/>
              <w:spacing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食材配送情况考核表</w:t>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考核指标</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考核要素、评估内容及其标准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具体扣分情况</w:t>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一、送货时间</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能够按照合同约定时间准时送达的，得10分；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出现意外状况导致未能准时送达，但能主动与采购方及时沟通，未造成影响的,得8分；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出现意外状况导致未能准时送达，对食堂工作造成一定影响的,得4分；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出现意外状况导致未能准时送达，对食堂工作造成严重影响的,得1分；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出现问题后未与采购方沟通或沟通不及时,未作出补救措施的不得分。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二、服务态度</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工作人员工作认真，服务热情周到，运送搬装文明得10分；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工作态度不认真，因搬装等原因造成食物污染、破损，发现一次扣5分，扣完为止。</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三、品种情况</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送货无差错，与送货清单保持一致的，得10分；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送货种类与清单不一致，但能够及时与采购方沟通并调换正确货物的，每有一次扣2分，扣完为止；</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送货种类与清单不一致，未与采购方沟通或沟通不及时，对食堂工作造成严重影响的，每有一次扣5分，扣完为止。</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四、数量情况</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做到无短斤缺两现象（负偏差在2%以内），严格按照采购清单上约定的数量送货的，得10分；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送货数量与清单不一致，负偏差超过2%的，但能够及时与采购方沟通并补足数量的，每有一次扣2分；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送货数量与清单不一致，偏差超过2%的，未与采购方沟通或沟通不及时，对食堂工作造成严重影响，每有一次扣5分。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五、价格情况</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价格严格按照合同约定的定价方式制定的，得10分；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价格未按照合同约定的定价方式制定的，发现一次扣5分。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六、食材质量</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numPr>
                <w:ilvl w:val="0"/>
                <w:numId w:val="5"/>
              </w:numPr>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所提供的食材质量经过采购方检查后能够正常使用的，得10分；所提供的食材质量经过采购方检查发现有超过1%（按重量）不能够正常使用的，每次扣2分；</w:t>
            </w:r>
            <w:r/>
          </w:p>
          <w:p>
            <w:pPr>
              <w:pStyle w:val="723"/>
              <w:numPr>
                <w:ilvl w:val="0"/>
                <w:numId w:val="5"/>
              </w:numPr>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所提供的食材未经挑选并有腐烂等影响食堂正常使用的，本项不得分。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七、送货车辆</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严格按与采购方约定的车辆类型进行送货的得10分；未与采购方沟通擅自变更送货车辆类型的，发现1次扣5分。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八、联系制度</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发生需要更换食材品种、食材价格波动较大、出现意外情况等，能够及时与采购方联系沟通，没有对食堂工作造成不良影响的，得10分；因为没有与采购方及时沟通，对食堂工作造成不良影响，发现一次扣5分。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九、跟踪随访</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供应方能主动到采购方食堂随访，听取采购方对于食堂供货的意见建议的，能做到每周至少随访1次，一个月不少于4次的，得10分；少随访一次扣2.5分。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十、检测资料</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能够按照合同及招标文件约定向采购方提供有关商品的检测资料的，得10分；每发现遗漏1次，扣2分。一个月出现3次及以上，本项不得分。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ab/>
              <w:t xml:space="preserve">总分：</w:t>
            </w:r>
            <w:r/>
          </w:p>
        </w:tc>
        <w:tc>
          <w:tcPr>
            <w:gridSpan w:val="2"/>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bl>
    <w:p>
      <w:pPr>
        <w:pStyle w:val="723"/>
        <w:ind w:firstLine="482"/>
        <w:jc w:val="left"/>
        <w:spacing w:line="360" w:lineRule="auto"/>
        <w:rPr>
          <w:rFonts w:ascii="宋体" w:hAnsi="宋体" w:eastAsia="宋体" w:cs="宋体"/>
          <w:b/>
          <w:sz w:val="24"/>
          <w:szCs w:val="22"/>
        </w:rPr>
        <w:outlineLvl w:val="0"/>
      </w:pPr>
      <w:r>
        <w:rPr>
          <w:rFonts w:hint="eastAsia" w:ascii="宋体" w:hAnsi="宋体" w:eastAsia="宋体" w:cs="宋体"/>
          <w:b/>
          <w:sz w:val="24"/>
          <w:szCs w:val="22"/>
        </w:rPr>
        <w:t xml:space="preserve">九、综合说明：</w:t>
      </w:r>
      <w:r>
        <w:rPr>
          <w:rFonts w:ascii="宋体" w:hAnsi="宋体" w:eastAsia="宋体" w:cs="宋体"/>
          <w:b/>
          <w:sz w:val="24"/>
          <w:szCs w:val="22"/>
        </w:rPr>
      </w:r>
      <w:r/>
    </w:p>
    <w:p>
      <w:pPr>
        <w:pStyle w:val="723"/>
        <w:ind w:firstLine="480"/>
        <w:spacing w:line="360" w:lineRule="auto"/>
        <w:rPr>
          <w:rFonts w:ascii="宋体" w:hAnsi="宋体" w:eastAsia="宋体"/>
          <w:sz w:val="24"/>
          <w:szCs w:val="22"/>
        </w:rPr>
      </w:pPr>
      <w:r>
        <w:rPr>
          <w:rFonts w:ascii="宋体" w:hAnsi="宋体" w:eastAsia="宋体"/>
          <w:sz w:val="24"/>
          <w:szCs w:val="22"/>
        </w:rPr>
        <w:t xml:space="preserve">1</w:t>
      </w:r>
      <w:r>
        <w:rPr>
          <w:rFonts w:hint="eastAsia" w:ascii="宋体" w:hAnsi="宋体" w:eastAsia="宋体"/>
          <w:sz w:val="24"/>
          <w:szCs w:val="22"/>
        </w:rPr>
        <w:t xml:space="preserve">、投标单位</w:t>
      </w:r>
      <w:r>
        <w:rPr>
          <w:rFonts w:ascii="宋体" w:hAnsi="宋体" w:eastAsia="宋体"/>
          <w:sz w:val="24"/>
          <w:szCs w:val="22"/>
        </w:rPr>
        <w:t xml:space="preserve">所提供的相关服务应符合根据国家标准和规范，并遵循招标文件的要求，其服务的质量和标准应达到招标要求，并提供详细的服务说明。如其中某些条款不能完全满足时，应在投标文件中逐条列出。</w:t>
      </w:r>
      <w:r/>
    </w:p>
    <w:p>
      <w:pPr>
        <w:pStyle w:val="723"/>
        <w:ind w:firstLine="480"/>
        <w:spacing w:line="360" w:lineRule="auto"/>
        <w:rPr>
          <w:rFonts w:hint="eastAsia" w:ascii="宋体" w:hAnsi="宋体" w:eastAsia="宋体"/>
          <w:sz w:val="24"/>
          <w:szCs w:val="22"/>
        </w:rPr>
      </w:pPr>
      <w:r>
        <w:rPr>
          <w:rFonts w:hint="eastAsia" w:ascii="宋体" w:hAnsi="宋体" w:eastAsia="宋体"/>
          <w:sz w:val="24"/>
          <w:szCs w:val="22"/>
        </w:rPr>
        <w:t xml:space="preserve">2、本项目中投标报价包括配送服务、设备、材料、人工、食宿、差旅、加班、税费、技术支持与培训及相关劳务支出、招标代理服务费等履行本合同所发生的全部费用以及中标单位的企业利润、税金和政策性文件规定及合同包含的所有风险、责任等各项应有费用。</w:t>
      </w:r>
      <w:r/>
    </w:p>
    <w:p>
      <w:pPr>
        <w:pStyle w:val="723"/>
        <w:ind w:firstLine="480"/>
        <w:spacing w:line="360" w:lineRule="auto"/>
        <w:rPr>
          <w:rFonts w:hint="eastAsia" w:ascii="宋体" w:hAnsi="宋体" w:eastAsia="宋体"/>
          <w:sz w:val="24"/>
          <w:szCs w:val="22"/>
        </w:rPr>
      </w:pPr>
      <w:r>
        <w:rPr>
          <w:rFonts w:hint="eastAsia" w:ascii="宋体" w:hAnsi="宋体" w:eastAsia="宋体"/>
          <w:sz w:val="24"/>
          <w:szCs w:val="22"/>
        </w:rPr>
        <w:t xml:space="preserve">3、中标单位配送的主副食品必须符合国家相关规定的质量指标并可溯源，所供食材保质期不得低于标明的保质期限的1/2。价格必须按照中标优惠率执行并保持相对稳定，不得以增加其它成本为由抬高价格。</w:t>
      </w:r>
      <w:r/>
    </w:p>
    <w:p>
      <w:pPr>
        <w:pStyle w:val="723"/>
        <w:ind w:firstLine="480"/>
        <w:spacing w:line="360" w:lineRule="auto"/>
        <w:rPr>
          <w:rFonts w:ascii="宋体" w:hAnsi="宋体" w:eastAsia="宋体"/>
          <w:sz w:val="24"/>
          <w:szCs w:val="22"/>
        </w:rPr>
      </w:pPr>
      <w:r>
        <w:rPr>
          <w:rFonts w:ascii="宋体" w:hAnsi="宋体" w:eastAsia="宋体"/>
          <w:sz w:val="24"/>
          <w:szCs w:val="22"/>
        </w:rPr>
        <w:t xml:space="preserve">4</w:t>
      </w:r>
      <w:r>
        <w:rPr>
          <w:rFonts w:hint="eastAsia" w:ascii="宋体" w:hAnsi="宋体" w:eastAsia="宋体"/>
          <w:sz w:val="24"/>
          <w:szCs w:val="22"/>
        </w:rPr>
        <w:t xml:space="preserve">、</w:t>
      </w:r>
      <w:r>
        <w:rPr>
          <w:rFonts w:ascii="宋体" w:hAnsi="宋体" w:eastAsia="宋体"/>
          <w:sz w:val="24"/>
          <w:szCs w:val="22"/>
        </w:rPr>
        <w:t xml:space="preserve">投标文件内容必须真实、准确、有效，如提供虚假材料或对招标文件所要求说明的情况故意隐瞒或虚报，按《中华人民共和国政府采购法》第七十七条的相关办法处理。</w:t>
      </w:r>
      <w:r/>
    </w:p>
    <w:p>
      <w:pPr>
        <w:pStyle w:val="723"/>
        <w:ind w:firstLine="480"/>
        <w:spacing w:line="360" w:lineRule="auto"/>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rPr>
        <w:t xml:space="preserve">采购方</w:t>
      </w:r>
      <w:r>
        <w:rPr>
          <w:rFonts w:hint="eastAsia" w:ascii="宋体" w:hAnsi="宋体" w:eastAsia="宋体"/>
          <w:sz w:val="24"/>
          <w:szCs w:val="24"/>
        </w:rPr>
        <w:t xml:space="preserve">有关部门负责中标单位日常服务工作的监管、协调、考核。</w:t>
      </w:r>
      <w:r/>
    </w:p>
    <w:p>
      <w:pPr>
        <w:pStyle w:val="723"/>
        <w:ind w:firstLine="480"/>
        <w:spacing w:line="360" w:lineRule="auto"/>
        <w:rPr>
          <w:rFonts w:hint="eastAsia" w:ascii="宋体" w:hAnsi="宋体" w:eastAsia="宋体"/>
          <w:sz w:val="24"/>
          <w:szCs w:val="24"/>
        </w:rPr>
      </w:pPr>
      <w:r>
        <w:rPr>
          <w:rFonts w:hint="eastAsia" w:ascii="宋体" w:hAnsi="宋体" w:eastAsia="宋体"/>
          <w:sz w:val="24"/>
          <w:szCs w:val="24"/>
        </w:rPr>
        <w:t xml:space="preserve">6、中标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中标单位承担。合同履行期间，服务人员与</w:t>
      </w:r>
      <w:r>
        <w:rPr>
          <w:rFonts w:hint="eastAsia" w:ascii="宋体" w:hAnsi="宋体" w:eastAsia="宋体"/>
          <w:sz w:val="24"/>
          <w:szCs w:val="24"/>
        </w:rPr>
        <w:t xml:space="preserve">采购方</w:t>
      </w:r>
      <w:r>
        <w:rPr>
          <w:rFonts w:hint="eastAsia" w:ascii="宋体" w:hAnsi="宋体" w:eastAsia="宋体"/>
          <w:sz w:val="24"/>
          <w:szCs w:val="24"/>
        </w:rPr>
        <w:t xml:space="preserve">无任何劳动人事关系，用工事宜由中标单位负责。</w:t>
      </w:r>
      <w:r/>
    </w:p>
    <w:p>
      <w:pPr>
        <w:pStyle w:val="723"/>
        <w:ind w:firstLine="480"/>
        <w:spacing w:line="360" w:lineRule="auto"/>
        <w:rPr>
          <w:rFonts w:hint="eastAsia" w:ascii="宋体" w:hAnsi="宋体" w:eastAsia="宋体"/>
          <w:sz w:val="24"/>
          <w:szCs w:val="24"/>
        </w:rPr>
      </w:pPr>
      <w:r>
        <w:rPr>
          <w:rFonts w:hint="eastAsia" w:ascii="宋体" w:hAnsi="宋体" w:eastAsia="宋体"/>
          <w:sz w:val="24"/>
          <w:szCs w:val="24"/>
        </w:rPr>
        <w:t xml:space="preserve">7、中标单位在整个服务期内需按要求保质保量提供食材配送服务。中标单位在供货过程中，如出现质量问题或保质期不足的情况，</w:t>
      </w:r>
      <w:r>
        <w:rPr>
          <w:rFonts w:hint="eastAsia" w:ascii="宋体" w:hAnsi="宋体" w:eastAsia="宋体"/>
          <w:sz w:val="24"/>
          <w:szCs w:val="24"/>
        </w:rPr>
        <w:t xml:space="preserve">采购方</w:t>
      </w:r>
      <w:r>
        <w:rPr>
          <w:rFonts w:hint="eastAsia" w:ascii="宋体" w:hAnsi="宋体" w:eastAsia="宋体"/>
          <w:sz w:val="24"/>
          <w:szCs w:val="24"/>
        </w:rPr>
        <w:t xml:space="preserve">有权拒绝接受所提供的物品或食品。</w:t>
      </w:r>
      <w:r/>
    </w:p>
    <w:p>
      <w:pPr>
        <w:pStyle w:val="723"/>
        <w:ind w:firstLine="480"/>
        <w:spacing w:line="360" w:lineRule="auto"/>
        <w:rPr>
          <w:rFonts w:hint="eastAsia" w:ascii="宋体" w:hAnsi="宋体" w:eastAsia="宋体"/>
          <w:sz w:val="24"/>
          <w:szCs w:val="24"/>
        </w:rPr>
      </w:pPr>
      <w:r>
        <w:rPr>
          <w:rFonts w:hint="eastAsia" w:ascii="宋体" w:hAnsi="宋体" w:eastAsia="宋体"/>
          <w:sz w:val="24"/>
          <w:szCs w:val="24"/>
        </w:rPr>
        <w:t xml:space="preserve">8、如因中标单位的原因造成</w:t>
      </w:r>
      <w:r>
        <w:rPr>
          <w:rFonts w:hint="eastAsia" w:ascii="宋体" w:hAnsi="宋体" w:eastAsia="宋体"/>
          <w:sz w:val="24"/>
          <w:szCs w:val="24"/>
        </w:rPr>
        <w:t xml:space="preserve">采购方</w:t>
      </w:r>
      <w:r>
        <w:rPr>
          <w:rFonts w:hint="eastAsia" w:ascii="宋体" w:hAnsi="宋体" w:eastAsia="宋体"/>
          <w:sz w:val="24"/>
          <w:szCs w:val="24"/>
        </w:rPr>
        <w:t xml:space="preserve">服务出现空档期等未按照相关要求及时供货的，</w:t>
      </w:r>
      <w:r>
        <w:rPr>
          <w:rFonts w:hint="eastAsia" w:ascii="宋体" w:hAnsi="宋体" w:eastAsia="宋体"/>
          <w:sz w:val="24"/>
          <w:szCs w:val="24"/>
        </w:rPr>
        <w:t xml:space="preserve">采购方</w:t>
      </w:r>
      <w:r>
        <w:rPr>
          <w:rFonts w:hint="eastAsia" w:ascii="宋体" w:hAnsi="宋体" w:eastAsia="宋体"/>
          <w:sz w:val="24"/>
          <w:szCs w:val="24"/>
        </w:rPr>
        <w:t xml:space="preserve">有权要求中标单位从第三方采购，中标单位需承担赔偿一切直接、间接损失及产生的费用。</w:t>
      </w:r>
      <w:r/>
    </w:p>
    <w:p>
      <w:pPr>
        <w:pStyle w:val="723"/>
        <w:ind w:firstLine="480"/>
        <w:spacing w:line="360" w:lineRule="auto"/>
        <w:rPr>
          <w:rFonts w:hint="eastAsia" w:ascii="宋体" w:hAnsi="宋体" w:eastAsia="宋体"/>
          <w:sz w:val="24"/>
          <w:szCs w:val="24"/>
        </w:rPr>
      </w:pPr>
      <w:r>
        <w:rPr>
          <w:rFonts w:hint="eastAsia" w:ascii="宋体" w:hAnsi="宋体" w:eastAsia="宋体"/>
          <w:sz w:val="24"/>
          <w:szCs w:val="24"/>
        </w:rPr>
        <w:t xml:space="preserve">9、凡涉及招标文件的补充说明和修改，均以苏州市政府采购网上的信息为准。</w:t>
      </w:r>
      <w:r/>
    </w:p>
    <w:p>
      <w:pPr>
        <w:pStyle w:val="723"/>
        <w:ind w:firstLine="480"/>
        <w:spacing w:line="360" w:lineRule="auto"/>
        <w:rPr>
          <w:rFonts w:ascii="宋体" w:hAnsi="宋体" w:eastAsia="宋体"/>
          <w:b/>
          <w:bCs/>
          <w:sz w:val="24"/>
          <w:szCs w:val="24"/>
        </w:rPr>
      </w:pPr>
      <w:r>
        <w:rPr>
          <w:rFonts w:hint="eastAsia" w:ascii="宋体" w:hAnsi="宋体" w:eastAsia="宋体"/>
          <w:b/>
          <w:bCs/>
          <w:sz w:val="24"/>
          <w:szCs w:val="24"/>
        </w:rPr>
        <w:t xml:space="preserve">十、政府采购政策：</w:t>
      </w:r>
      <w:r>
        <w:rPr>
          <w:rFonts w:ascii="宋体" w:hAnsi="宋体" w:eastAsia="宋体"/>
          <w:b/>
          <w:bCs/>
          <w:sz w:val="24"/>
          <w:szCs w:val="24"/>
        </w:rPr>
      </w:r>
      <w:r/>
    </w:p>
    <w:p>
      <w:pPr>
        <w:pStyle w:val="723"/>
        <w:ind w:firstLine="48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1、小、微企业</w:t>
      </w:r>
      <w:r>
        <w:rPr>
          <w:rFonts w:ascii="宋体" w:hAnsi="宋体" w:eastAsia="宋体"/>
          <w:sz w:val="24"/>
          <w:szCs w:val="24"/>
        </w:rPr>
      </w:r>
      <w:r/>
    </w:p>
    <w:p>
      <w:pPr>
        <w:pStyle w:val="723"/>
        <w:ind w:firstLine="420"/>
        <w:spacing w:line="360" w:lineRule="auto"/>
        <w:rPr>
          <w:rFonts w:ascii="宋体" w:hAnsi="宋体" w:eastAsia="宋体" w:cs="宋体"/>
          <w:b/>
          <w:bCs/>
          <w:sz w:val="24"/>
        </w:rPr>
      </w:pPr>
      <w:r>
        <w:rPr>
          <w:rFonts w:hint="eastAsia" w:ascii="宋体" w:hAnsi="宋体" w:eastAsia="宋体" w:cs="宋体"/>
          <w:color w:val="000000"/>
          <w:sz w:val="24"/>
        </w:rPr>
        <w:t xml:space="preserve">（</w:t>
      </w: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hint="eastAsia" w:ascii="宋体" w:hAnsi="宋体" w:eastAsia="宋体" w:cs="宋体"/>
          <w:b/>
          <w:bCs/>
          <w:sz w:val="24"/>
        </w:rPr>
        <w:t xml:space="preserve">本项目属于专门面中小微企业的采购。</w:t>
      </w:r>
      <w:r>
        <w:rPr>
          <w:rFonts w:ascii="宋体" w:hAnsi="宋体" w:eastAsia="宋体" w:cs="宋体"/>
          <w:b/>
          <w:bCs/>
          <w:sz w:val="24"/>
        </w:rPr>
        <w:t xml:space="preserve"> </w:t>
      </w:r>
      <w:r/>
    </w:p>
    <w:p>
      <w:pPr>
        <w:pStyle w:val="723"/>
        <w:ind w:firstLine="420"/>
        <w:spacing w:line="360" w:lineRule="auto"/>
        <w:rPr>
          <w:rFonts w:ascii="宋体" w:hAnsi="宋体" w:eastAsia="宋体" w:cs="宋体"/>
          <w:color w:val="000000"/>
          <w:sz w:val="24"/>
        </w:rPr>
      </w:pPr>
      <w:r>
        <w:rPr>
          <w:rFonts w:hint="eastAsia" w:ascii="宋体" w:hAnsi="宋体" w:eastAsia="宋体" w:cs="宋体"/>
          <w:color w:val="000000"/>
          <w:sz w:val="24"/>
        </w:rPr>
        <w:t xml:space="preserve">（</w:t>
      </w: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hint="eastAsia" w:ascii="宋体" w:hAnsi="宋体" w:eastAsia="宋体" w:cs="宋体"/>
          <w:b/>
          <w:bCs/>
          <w:color w:val="000000"/>
          <w:sz w:val="24"/>
        </w:rPr>
        <w:t xml:space="preserve">本项目采购标的对应的中小微企业划分标准所属行业为批发业。</w:t>
      </w:r>
      <w:r>
        <w:rPr>
          <w:rFonts w:hint="eastAsia" w:ascii="宋体" w:hAnsi="宋体" w:eastAsia="宋体" w:cs="宋体"/>
          <w:color w:val="000000"/>
          <w:sz w:val="24"/>
        </w:rPr>
        <w:t xml:space="preserve">中小微企业划型标准根据《中小企业划型标准规定》（工信部联企业【</w:t>
      </w:r>
      <w:r>
        <w:rPr>
          <w:rFonts w:ascii="宋体" w:hAnsi="宋体" w:eastAsia="宋体" w:cs="宋体"/>
          <w:color w:val="000000"/>
          <w:sz w:val="24"/>
        </w:rPr>
        <w:t xml:space="preserve">2011</w:t>
      </w:r>
      <w:r>
        <w:rPr>
          <w:rFonts w:hint="eastAsia" w:ascii="宋体" w:hAnsi="宋体" w:eastAsia="宋体" w:cs="宋体"/>
          <w:color w:val="000000"/>
          <w:sz w:val="24"/>
        </w:rPr>
        <w:t xml:space="preserve">】</w:t>
      </w:r>
      <w:r>
        <w:rPr>
          <w:rFonts w:ascii="宋体" w:hAnsi="宋体" w:eastAsia="宋体" w:cs="宋体"/>
          <w:color w:val="000000"/>
          <w:sz w:val="24"/>
        </w:rPr>
        <w:t xml:space="preserve">300 </w:t>
      </w:r>
      <w:r>
        <w:rPr>
          <w:rFonts w:hint="eastAsia" w:ascii="宋体" w:hAnsi="宋体" w:eastAsia="宋体" w:cs="宋体"/>
          <w:color w:val="000000"/>
          <w:sz w:val="24"/>
        </w:rPr>
        <w:t xml:space="preserve">号）</w:t>
      </w:r>
      <w:r>
        <w:rPr>
          <w:rFonts w:ascii="宋体" w:hAnsi="宋体" w:eastAsia="宋体" w:cs="宋体"/>
          <w:color w:val="000000"/>
          <w:sz w:val="24"/>
        </w:rPr>
      </w:r>
      <w:r/>
    </w:p>
    <w:p>
      <w:pPr>
        <w:pStyle w:val="723"/>
        <w:ind w:firstLine="480"/>
        <w:spacing w:line="360" w:lineRule="auto"/>
        <w:widowControl/>
        <w:rPr>
          <w:rFonts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、针对中小型企业、残疾人福利企业和监狱企业的评审：</w:t>
      </w:r>
      <w:r>
        <w:rPr>
          <w:rFonts w:ascii="宋体" w:hAnsi="宋体" w:eastAsia="宋体" w:cs="宋体"/>
          <w:color w:val="000000"/>
          <w:sz w:val="24"/>
        </w:rPr>
      </w:r>
      <w:r/>
    </w:p>
    <w:p>
      <w:pPr>
        <w:pStyle w:val="723"/>
        <w:ind w:firstLine="480"/>
        <w:spacing w:line="360" w:lineRule="auto"/>
        <w:widowControl/>
        <w:rPr>
          <w:rFonts w:ascii="宋体" w:hAnsi="宋体" w:eastAsia="宋体"/>
          <w:b/>
          <w:bCs/>
          <w:color w:val="000000"/>
          <w:sz w:val="24"/>
        </w:rPr>
      </w:pPr>
      <w:r>
        <w:rPr>
          <w:rFonts w:hint="eastAsia" w:ascii="宋体" w:hAnsi="宋体" w:eastAsia="宋体" w:cs="宋体"/>
          <w:color w:val="000000"/>
          <w:sz w:val="24"/>
        </w:rPr>
        <w:t xml:space="preserve">根据《政府采购促进中小企业发展管理办法》（财库〔</w:t>
      </w:r>
      <w:r>
        <w:rPr>
          <w:rFonts w:ascii="宋体" w:hAnsi="宋体" w:eastAsia="宋体" w:cs="宋体"/>
          <w:color w:val="000000"/>
          <w:sz w:val="24"/>
        </w:rPr>
        <w:t xml:space="preserve">2020</w:t>
      </w:r>
      <w:r>
        <w:rPr>
          <w:rFonts w:hint="eastAsia" w:ascii="宋体" w:hAnsi="宋体" w:eastAsia="宋体" w:cs="宋体"/>
          <w:color w:val="000000"/>
          <w:sz w:val="24"/>
        </w:rPr>
        <w:t xml:space="preserve">〕</w:t>
      </w:r>
      <w:r>
        <w:rPr>
          <w:rFonts w:ascii="宋体" w:hAnsi="宋体" w:eastAsia="宋体" w:cs="宋体"/>
          <w:color w:val="000000"/>
          <w:sz w:val="24"/>
        </w:rPr>
        <w:t xml:space="preserve">46</w:t>
      </w:r>
      <w:r>
        <w:rPr>
          <w:rFonts w:hint="eastAsia" w:ascii="宋体" w:hAnsi="宋体" w:eastAsia="宋体" w:cs="宋体"/>
          <w:color w:val="000000"/>
          <w:sz w:val="24"/>
        </w:rPr>
        <w:t xml:space="preserve">号）、《关于促进残疾人就业政府采购政策的通知》（财库〔</w:t>
      </w:r>
      <w:r>
        <w:rPr>
          <w:rFonts w:ascii="宋体" w:hAnsi="宋体" w:eastAsia="宋体" w:cs="宋体"/>
          <w:color w:val="000000"/>
          <w:sz w:val="24"/>
        </w:rPr>
        <w:t xml:space="preserve">2017</w:t>
      </w:r>
      <w:r>
        <w:rPr>
          <w:rFonts w:hint="eastAsia" w:ascii="宋体" w:hAnsi="宋体" w:eastAsia="宋体" w:cs="宋体"/>
          <w:color w:val="000000"/>
          <w:sz w:val="24"/>
        </w:rPr>
        <w:t xml:space="preserve">〕</w:t>
      </w:r>
      <w:r>
        <w:rPr>
          <w:rFonts w:ascii="宋体" w:hAnsi="宋体" w:eastAsia="宋体" w:cs="宋体"/>
          <w:color w:val="000000"/>
          <w:sz w:val="24"/>
        </w:rPr>
        <w:t xml:space="preserve">141</w:t>
      </w:r>
      <w:r>
        <w:rPr>
          <w:rFonts w:hint="eastAsia" w:ascii="宋体" w:hAnsi="宋体" w:eastAsia="宋体" w:cs="宋体"/>
          <w:color w:val="000000"/>
          <w:sz w:val="24"/>
        </w:rPr>
        <w:t xml:space="preserve">号）、《关于政府采购支持监狱企业发展有关问题的通知》（财库〔</w:t>
      </w:r>
      <w:r>
        <w:rPr>
          <w:rFonts w:ascii="宋体" w:hAnsi="宋体" w:eastAsia="宋体" w:cs="宋体"/>
          <w:color w:val="000000"/>
          <w:sz w:val="24"/>
        </w:rPr>
        <w:t xml:space="preserve">2014</w:t>
      </w:r>
      <w:r>
        <w:rPr>
          <w:rFonts w:hint="eastAsia" w:ascii="宋体" w:hAnsi="宋体" w:eastAsia="宋体" w:cs="宋体"/>
          <w:color w:val="000000"/>
          <w:sz w:val="24"/>
        </w:rPr>
        <w:t xml:space="preserve">〕</w:t>
      </w:r>
      <w:r>
        <w:rPr>
          <w:rFonts w:ascii="宋体" w:hAnsi="宋体" w:eastAsia="宋体" w:cs="宋体"/>
          <w:color w:val="000000"/>
          <w:sz w:val="24"/>
        </w:rPr>
        <w:t xml:space="preserve">68</w:t>
      </w:r>
      <w:r>
        <w:rPr>
          <w:rFonts w:hint="eastAsia" w:ascii="宋体" w:hAnsi="宋体" w:eastAsia="宋体" w:cs="宋体"/>
          <w:color w:val="000000"/>
          <w:sz w:val="24"/>
        </w:rPr>
        <w:t xml:space="preserve">号）和《关于做好政府采购支持企业发展有关事项的通知》（苏财购〔</w:t>
      </w:r>
      <w:r>
        <w:rPr>
          <w:rFonts w:ascii="宋体" w:hAnsi="宋体" w:eastAsia="宋体" w:cs="宋体"/>
          <w:color w:val="000000"/>
          <w:sz w:val="24"/>
        </w:rPr>
        <w:t xml:space="preserve">2020</w:t>
      </w:r>
      <w:r>
        <w:rPr>
          <w:rFonts w:hint="eastAsia" w:ascii="宋体" w:hAnsi="宋体" w:eastAsia="宋体" w:cs="宋体"/>
          <w:color w:val="000000"/>
          <w:sz w:val="24"/>
        </w:rPr>
        <w:t xml:space="preserve">〕</w:t>
      </w:r>
      <w:r>
        <w:rPr>
          <w:rFonts w:ascii="宋体" w:hAnsi="宋体" w:eastAsia="宋体" w:cs="宋体"/>
          <w:color w:val="000000"/>
          <w:sz w:val="24"/>
        </w:rPr>
        <w:t xml:space="preserve">52</w:t>
      </w:r>
      <w:r>
        <w:rPr>
          <w:rFonts w:hint="eastAsia" w:ascii="宋体" w:hAnsi="宋体" w:eastAsia="宋体" w:cs="宋体"/>
          <w:color w:val="000000"/>
          <w:sz w:val="24"/>
        </w:rPr>
        <w:t xml:space="preserve">号）及《关于印发</w:t>
      </w:r>
      <w:r>
        <w:rPr>
          <w:rFonts w:ascii="宋体" w:hAnsi="宋体" w:eastAsia="宋体" w:cs="宋体"/>
          <w:color w:val="000000"/>
          <w:sz w:val="24"/>
        </w:rPr>
        <w:t xml:space="preserve">&lt;</w:t>
      </w:r>
      <w:r>
        <w:rPr>
          <w:rFonts w:hint="eastAsia" w:ascii="宋体" w:hAnsi="宋体" w:eastAsia="宋体" w:cs="宋体"/>
          <w:color w:val="000000"/>
          <w:sz w:val="24"/>
        </w:rPr>
        <w:t xml:space="preserve">苏州市政府采购促进中小企业发展实施意见</w:t>
      </w:r>
      <w:r>
        <w:rPr>
          <w:rFonts w:ascii="宋体" w:hAnsi="宋体" w:eastAsia="宋体" w:cs="宋体"/>
          <w:color w:val="000000"/>
          <w:sz w:val="24"/>
        </w:rPr>
        <w:t xml:space="preserve">&gt;</w:t>
      </w:r>
      <w:r>
        <w:rPr>
          <w:rFonts w:hint="eastAsia" w:ascii="宋体" w:hAnsi="宋体" w:eastAsia="宋体" w:cs="宋体"/>
          <w:color w:val="000000"/>
          <w:sz w:val="24"/>
        </w:rPr>
        <w:t xml:space="preserve">的通知》（苏财购〔</w:t>
      </w:r>
      <w:r>
        <w:rPr>
          <w:rFonts w:ascii="宋体" w:hAnsi="宋体" w:eastAsia="宋体" w:cs="宋体"/>
          <w:color w:val="000000"/>
          <w:sz w:val="24"/>
        </w:rPr>
        <w:t xml:space="preserve">2022</w:t>
      </w:r>
      <w:r>
        <w:rPr>
          <w:rFonts w:hint="eastAsia" w:ascii="宋体" w:hAnsi="宋体" w:eastAsia="宋体" w:cs="宋体"/>
          <w:color w:val="000000"/>
          <w:sz w:val="24"/>
        </w:rPr>
        <w:t xml:space="preserve">〕</w:t>
      </w:r>
      <w:r>
        <w:rPr>
          <w:rFonts w:ascii="宋体" w:hAnsi="宋体" w:eastAsia="宋体" w:cs="宋体"/>
          <w:color w:val="000000"/>
          <w:sz w:val="24"/>
        </w:rPr>
        <w:t xml:space="preserve">16</w:t>
      </w:r>
      <w:r>
        <w:rPr>
          <w:rFonts w:hint="eastAsia" w:ascii="宋体" w:hAnsi="宋体" w:eastAsia="宋体" w:cs="宋体"/>
          <w:color w:val="000000"/>
          <w:sz w:val="24"/>
        </w:rPr>
        <w:t xml:space="preserve">号）的有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eastAsia="宋体"/>
          <w:b/>
          <w:bCs/>
          <w:color w:val="000000"/>
          <w:sz w:val="24"/>
        </w:rPr>
      </w:r>
      <w:r/>
    </w:p>
    <w:p>
      <w:pPr>
        <w:pStyle w:val="723"/>
        <w:ind w:firstLine="480"/>
        <w:spacing w:line="360" w:lineRule="auto"/>
        <w:tabs>
          <w:tab w:val="left" w:pos="567" w:leader="none"/>
        </w:tabs>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、残疾人福利性单位</w:t>
      </w:r>
      <w:r>
        <w:rPr>
          <w:rFonts w:ascii="宋体" w:hAnsi="宋体" w:eastAsia="宋体"/>
          <w:sz w:val="24"/>
          <w:szCs w:val="24"/>
        </w:rPr>
      </w:r>
      <w:r/>
    </w:p>
    <w:p>
      <w:pPr>
        <w:pStyle w:val="723"/>
        <w:ind w:firstLine="48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4"/>
          <w:szCs w:val="24"/>
        </w:rPr>
      </w:r>
      <w:r/>
    </w:p>
    <w:p>
      <w:pPr>
        <w:pStyle w:val="723"/>
        <w:ind w:firstLine="480"/>
        <w:spacing w:line="360" w:lineRule="auto"/>
        <w:tabs>
          <w:tab w:val="left" w:pos="567" w:leader="none"/>
        </w:tabs>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、监狱企业</w:t>
      </w:r>
      <w:r>
        <w:rPr>
          <w:rFonts w:ascii="宋体" w:hAnsi="宋体" w:eastAsia="宋体"/>
          <w:sz w:val="24"/>
          <w:szCs w:val="24"/>
        </w:rPr>
      </w:r>
      <w:r/>
    </w:p>
    <w:p>
      <w:pPr>
        <w:pStyle w:val="723"/>
        <w:ind w:firstLine="48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eastAsia="宋体"/>
          <w:sz w:val="24"/>
          <w:szCs w:val="24"/>
        </w:rPr>
      </w:r>
      <w:r/>
    </w:p>
    <w:p>
      <w:pPr>
        <w:pStyle w:val="723"/>
        <w:ind w:firstLine="480"/>
        <w:spacing w:line="360" w:lineRule="auto"/>
        <w:tabs>
          <w:tab w:val="left" w:pos="567" w:leader="none"/>
        </w:tabs>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、绿色采购</w:t>
      </w:r>
      <w:r>
        <w:rPr>
          <w:rFonts w:ascii="宋体" w:hAnsi="宋体" w:eastAsia="宋体"/>
          <w:sz w:val="24"/>
          <w:szCs w:val="24"/>
        </w:rPr>
      </w:r>
      <w:r/>
    </w:p>
    <w:p>
      <w:pPr>
        <w:pStyle w:val="723"/>
        <w:ind w:firstLine="480"/>
        <w:spacing w:line="360" w:lineRule="auto"/>
        <w:tabs>
          <w:tab w:val="left" w:pos="567" w:leader="none"/>
        </w:tabs>
        <w:rPr>
          <w:rFonts w:ascii="宋体" w:hAnsi="宋体" w:eastAsia="宋体"/>
          <w:sz w:val="24"/>
          <w:szCs w:val="22"/>
        </w:rPr>
      </w:pPr>
      <w:r>
        <w:rPr>
          <w:rFonts w:hint="eastAsia" w:ascii="宋体" w:hAnsi="宋体" w:eastAsia="宋体"/>
          <w:sz w:val="24"/>
          <w:szCs w:val="24"/>
        </w:rPr>
        <w:t xml:space="preserve">根据《关于调整优化节能产品、环境标志产品政府采购执行机制的通知》（财库〔</w:t>
      </w:r>
      <w:r>
        <w:rPr>
          <w:rFonts w:ascii="宋体" w:hAnsi="宋体" w:eastAsia="宋体"/>
          <w:sz w:val="24"/>
          <w:szCs w:val="24"/>
        </w:rPr>
        <w:t xml:space="preserve">2019</w:t>
      </w:r>
      <w:r>
        <w:rPr>
          <w:rFonts w:hint="eastAsia" w:ascii="宋体" w:hAnsi="宋体" w:eastAsia="宋体"/>
          <w:sz w:val="24"/>
          <w:szCs w:val="24"/>
        </w:rPr>
        <w:t xml:space="preserve">〕</w:t>
      </w:r>
      <w:r>
        <w:rPr>
          <w:rFonts w:ascii="宋体" w:hAnsi="宋体" w:eastAsia="宋体"/>
          <w:sz w:val="24"/>
          <w:szCs w:val="24"/>
        </w:rPr>
        <w:t xml:space="preserve">9</w:t>
      </w:r>
      <w:r>
        <w:rPr>
          <w:rFonts w:hint="eastAsia" w:ascii="宋体" w:hAnsi="宋体" w:eastAsia="宋体"/>
          <w:sz w:val="24"/>
          <w:szCs w:val="24"/>
        </w:rPr>
        <w:t xml:space="preserve">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eastAsia="宋体"/>
          <w:sz w:val="24"/>
          <w:szCs w:val="22"/>
        </w:rPr>
      </w:r>
      <w:r/>
    </w:p>
    <w:p>
      <w:pPr>
        <w:pStyle w:val="72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6、针对中小型企业、残疾人福利企业和监狱企业的评审：</w:t>
      </w:r>
      <w:r>
        <w:rPr>
          <w:rFonts w:ascii="宋体" w:hAnsi="宋体" w:eastAsia="宋体" w:cs="宋体"/>
          <w:sz w:val="24"/>
          <w:szCs w:val="24"/>
        </w:rPr>
      </w:r>
      <w:r/>
    </w:p>
    <w:p>
      <w:pPr>
        <w:pStyle w:val="723"/>
        <w:ind w:firstLine="482"/>
        <w:spacing w:line="360" w:lineRule="auto"/>
        <w:rPr>
          <w:rFonts w:ascii="宋体" w:hAnsi="宋体" w:eastAsia="宋体"/>
          <w:sz w:val="24"/>
          <w:szCs w:val="24"/>
        </w:rPr>
      </w:pPr>
      <w:r>
        <w:rPr>
          <w:rFonts w:hint="eastAsia" w:ascii="宋体" w:hAnsi="宋体" w:eastAsia="宋体"/>
          <w:b/>
          <w:bCs/>
          <w:sz w:val="24"/>
          <w:szCs w:val="24"/>
        </w:rPr>
        <w:t xml:space="preserve">本项目为专门面向中小企业采购的项目，不再执行价格评审优惠的扶持政策。</w:t>
      </w:r>
      <w:r>
        <w:rPr>
          <w:rFonts w:hint="eastAsia" w:ascii="宋体" w:hAnsi="宋体" w:eastAsia="宋体"/>
          <w:bCs/>
          <w:sz w:val="24"/>
          <w:szCs w:val="24"/>
        </w:rPr>
        <w:t xml:space="preserve">供应商必须提供《中小企业声明函》或《残疾人福利性单位声明函》或由省级以上监狱管理局、戒毒管理局（含新疆生产建设兵团）出具的属于监狱企业的证明文件。</w:t>
      </w:r>
      <w:r>
        <w:rPr>
          <w:rFonts w:ascii="宋体" w:hAnsi="宋体" w:eastAsia="宋体"/>
          <w:sz w:val="24"/>
          <w:szCs w:val="24"/>
        </w:rPr>
      </w:r>
      <w:r/>
    </w:p>
    <w:p>
      <w:pPr>
        <w:pStyle w:val="723"/>
        <w:ind w:firstLine="480"/>
        <w:spacing w:line="360" w:lineRule="auto"/>
        <w:tabs>
          <w:tab w:val="left" w:pos="753" w:leader="none"/>
        </w:tabs>
        <w:rPr>
          <w:rFonts w:ascii="宋体" w:hAnsi="宋体" w:eastAsia="宋体"/>
          <w:b/>
          <w:bCs/>
          <w:sz w:val="24"/>
          <w:szCs w:val="24"/>
        </w:rPr>
      </w:pPr>
      <w:r>
        <w:rPr>
          <w:rFonts w:hint="eastAsia" w:ascii="宋体" w:hAnsi="宋体" w:eastAsia="宋体" w:cs="宋体"/>
          <w:sz w:val="24"/>
          <w:szCs w:val="24"/>
        </w:rPr>
        <w:t xml:space="preserve">若供应商提供的声明函或认定证明为虚假材料，按“政府采购法”相关规定处理并报请政府监管部门给予行政处罚。</w:t>
      </w:r>
      <w:r>
        <w:rPr>
          <w:rFonts w:ascii="宋体" w:hAnsi="宋体" w:eastAsia="宋体"/>
          <w:b/>
          <w:bCs/>
          <w:sz w:val="24"/>
          <w:szCs w:val="24"/>
        </w:rPr>
      </w:r>
      <w:r/>
    </w:p>
    <w:p>
      <w:pPr>
        <w:pStyle w:val="723"/>
        <w:ind w:firstLine="480"/>
        <w:jc w:val="left"/>
        <w:spacing w:line="360" w:lineRule="auto"/>
        <w:rPr>
          <w:rFonts w:ascii="宋体" w:hAnsi="宋体" w:eastAsia="宋体"/>
          <w:sz w:val="24"/>
          <w:szCs w:val="22"/>
        </w:rPr>
      </w:pPr>
      <w:r>
        <w:rPr>
          <w:rFonts w:ascii="宋体" w:hAnsi="宋体" w:eastAsia="宋体"/>
          <w:sz w:val="24"/>
          <w:szCs w:val="22"/>
        </w:rPr>
      </w:r>
      <w:r/>
    </w:p>
    <w:p>
      <w:pPr>
        <w:pStyle w:val="723"/>
        <w:rPr>
          <w:color w:val="000000"/>
          <w:sz w:val="32"/>
          <w:szCs w:val="32"/>
        </w:rPr>
      </w:pPr>
      <w:r>
        <w:rPr>
          <w:color w:val="000000"/>
          <w:sz w:val="32"/>
          <w:szCs w:val="32"/>
        </w:rPr>
      </w:r>
      <w:r/>
    </w:p>
    <w:p>
      <w:pPr>
        <w:pStyle w:val="723"/>
        <w:rPr>
          <w:color w:val="000000"/>
          <w:sz w:val="32"/>
          <w:szCs w:val="32"/>
        </w:rPr>
      </w:pPr>
      <w:r>
        <w:rPr>
          <w:color w:val="000000"/>
          <w:sz w:val="32"/>
          <w:szCs w:val="32"/>
        </w:rPr>
      </w:r>
      <w:r/>
    </w:p>
    <w:p>
      <w:pPr>
        <w:pStyle w:val="723"/>
        <w:rPr>
          <w:color w:val="000000"/>
          <w:sz w:val="32"/>
          <w:szCs w:val="32"/>
        </w:rPr>
      </w:pPr>
      <w:r>
        <w:rPr>
          <w:color w:val="000000"/>
          <w:sz w:val="32"/>
          <w:szCs w:val="32"/>
        </w:rPr>
      </w:r>
      <w:r/>
    </w:p>
    <w:p>
      <w:pPr>
        <w:pStyle w:val="723"/>
        <w:rPr>
          <w:color w:val="000000"/>
          <w:sz w:val="32"/>
          <w:szCs w:val="32"/>
        </w:rPr>
      </w:pPr>
      <w:r>
        <w:rPr>
          <w:color w:val="000000"/>
          <w:sz w:val="32"/>
          <w:szCs w:val="32"/>
        </w:rPr>
      </w:r>
      <w:r/>
    </w:p>
    <w:p>
      <w:pPr>
        <w:pStyle w:val="723"/>
        <w:rPr>
          <w:color w:val="000000"/>
          <w:sz w:val="32"/>
          <w:szCs w:val="32"/>
        </w:rPr>
      </w:pPr>
      <w:r>
        <w:rPr>
          <w:color w:val="000000"/>
          <w:sz w:val="32"/>
          <w:szCs w:val="32"/>
        </w:rPr>
      </w:r>
      <w:r/>
    </w:p>
    <w:p>
      <w:pPr>
        <w:pStyle w:val="723"/>
        <w:rPr>
          <w:color w:val="000000"/>
          <w:sz w:val="32"/>
          <w:szCs w:val="32"/>
        </w:rPr>
      </w:pPr>
      <w:r>
        <w:rPr>
          <w:color w:val="000000"/>
          <w:sz w:val="32"/>
          <w:szCs w:val="32"/>
        </w:rPr>
      </w:r>
      <w:r/>
    </w:p>
    <w:p>
      <w:pPr>
        <w:pStyle w:val="723"/>
        <w:rPr>
          <w:color w:val="000000"/>
          <w:sz w:val="32"/>
          <w:szCs w:val="32"/>
        </w:rPr>
      </w:pPr>
      <w:r>
        <w:rPr>
          <w:color w:val="000000"/>
          <w:sz w:val="32"/>
          <w:szCs w:val="32"/>
        </w:rPr>
      </w:r>
      <w:r/>
    </w:p>
    <w:p>
      <w:pPr>
        <w:pStyle w:val="723"/>
        <w:jc w:val="left"/>
        <w:widowControl/>
        <w:rPr>
          <w:color w:val="000000"/>
          <w:sz w:val="32"/>
          <w:szCs w:val="32"/>
        </w:rPr>
      </w:pPr>
      <w:r>
        <w:rPr>
          <w:color w:val="000000"/>
          <w:sz w:val="32"/>
          <w:szCs w:val="32"/>
        </w:rPr>
        <w:br w:type="page" w:clear="all"/>
      </w:r>
      <w:r>
        <w:rPr>
          <w:color w:val="000000"/>
          <w:sz w:val="32"/>
          <w:szCs w:val="32"/>
        </w:rPr>
      </w:r>
      <w:r/>
    </w:p>
    <w:p>
      <w:pPr>
        <w:pStyle w:val="723"/>
        <w:rPr>
          <w:color w:val="000000"/>
          <w:sz w:val="32"/>
          <w:szCs w:val="32"/>
        </w:rPr>
      </w:pPr>
      <w:r>
        <w:rPr>
          <w:color w:val="000000"/>
          <w:sz w:val="32"/>
          <w:szCs w:val="32"/>
        </w:rPr>
      </w:r>
      <w:r/>
    </w:p>
    <w:p>
      <w:pPr>
        <w:pStyle w:val="723"/>
        <w:rPr>
          <w:color w:val="000000"/>
          <w:sz w:val="32"/>
          <w:szCs w:val="32"/>
        </w:rPr>
      </w:pPr>
      <w:r>
        <w:rPr>
          <w:color w:val="000000"/>
          <w:sz w:val="32"/>
          <w:szCs w:val="32"/>
        </w:rPr>
      </w:r>
      <w:r/>
    </w:p>
    <w:p>
      <w:pPr>
        <w:pStyle w:val="723"/>
        <w:rPr>
          <w:color w:val="000000"/>
          <w:sz w:val="32"/>
          <w:szCs w:val="32"/>
        </w:rPr>
      </w:pPr>
      <w:r>
        <w:rPr>
          <w:color w:val="000000"/>
          <w:sz w:val="32"/>
          <w:szCs w:val="32"/>
        </w:rPr>
      </w:r>
      <w:r/>
    </w:p>
    <w:p>
      <w:pPr>
        <w:pStyle w:val="723"/>
        <w:rPr>
          <w:color w:val="000000"/>
          <w:sz w:val="32"/>
          <w:szCs w:val="32"/>
        </w:rPr>
      </w:pPr>
      <w:r>
        <w:rPr>
          <w:color w:val="000000"/>
          <w:sz w:val="32"/>
          <w:szCs w:val="32"/>
        </w:rPr>
      </w:r>
      <w:r/>
    </w:p>
    <w:p>
      <w:pPr>
        <w:pStyle w:val="723"/>
        <w:rPr>
          <w:color w:val="000000"/>
          <w:sz w:val="32"/>
          <w:szCs w:val="32"/>
        </w:rPr>
      </w:pPr>
      <w:r>
        <w:rPr>
          <w:color w:val="000000"/>
          <w:sz w:val="32"/>
          <w:szCs w:val="32"/>
        </w:rPr>
      </w:r>
      <w:r/>
    </w:p>
    <w:p>
      <w:pPr>
        <w:pStyle w:val="723"/>
        <w:rPr>
          <w:color w:val="000000"/>
          <w:sz w:val="32"/>
          <w:szCs w:val="32"/>
        </w:rPr>
      </w:pPr>
      <w:r>
        <w:rPr>
          <w:color w:val="000000"/>
          <w:sz w:val="32"/>
          <w:szCs w:val="32"/>
        </w:rPr>
      </w:r>
      <w:r/>
    </w:p>
    <w:p>
      <w:pPr>
        <w:pStyle w:val="723"/>
        <w:rPr>
          <w:color w:val="000000"/>
          <w:sz w:val="32"/>
          <w:szCs w:val="32"/>
        </w:rPr>
      </w:pPr>
      <w:r>
        <w:rPr>
          <w:color w:val="000000"/>
          <w:sz w:val="32"/>
          <w:szCs w:val="32"/>
        </w:rPr>
      </w:r>
      <w:r/>
    </w:p>
    <w:p>
      <w:pPr>
        <w:pStyle w:val="723"/>
        <w:rPr>
          <w:color w:val="000000"/>
          <w:sz w:val="32"/>
          <w:szCs w:val="32"/>
        </w:rPr>
      </w:pPr>
      <w:r>
        <w:rPr>
          <w:color w:val="000000"/>
          <w:sz w:val="32"/>
          <w:szCs w:val="32"/>
        </w:rPr>
      </w:r>
      <w:r/>
    </w:p>
    <w:p>
      <w:pPr>
        <w:pStyle w:val="723"/>
        <w:rPr>
          <w:color w:val="000000"/>
          <w:sz w:val="32"/>
          <w:szCs w:val="32"/>
        </w:rPr>
      </w:pPr>
      <w:r>
        <w:rPr>
          <w:color w:val="000000"/>
          <w:sz w:val="32"/>
          <w:szCs w:val="32"/>
        </w:rPr>
      </w:r>
      <w:r/>
    </w:p>
    <w:p>
      <w:pPr>
        <w:pStyle w:val="724"/>
        <w:jc w:val="center"/>
        <w:spacing w:line="360" w:lineRule="auto"/>
        <w:rPr>
          <w:rFonts w:ascii="宋体" w:hAnsi="宋体" w:eastAsia="宋体"/>
          <w:color w:val="000000"/>
          <w:sz w:val="48"/>
          <w:szCs w:val="48"/>
        </w:rPr>
      </w:pPr>
      <w:r/>
      <w:bookmarkStart w:id="12" w:name="_Toc396747046"/>
      <w:r/>
      <w:bookmarkStart w:id="13" w:name="_Toc50373299"/>
      <w:r>
        <w:rPr>
          <w:rFonts w:hint="eastAsia" w:ascii="宋体" w:hAnsi="宋体" w:eastAsia="宋体"/>
          <w:color w:val="000000"/>
          <w:sz w:val="48"/>
          <w:szCs w:val="48"/>
        </w:rPr>
        <w:t xml:space="preserve">第五章 合同主要条款</w:t>
      </w:r>
      <w:bookmarkEnd w:id="12"/>
      <w:r/>
      <w:bookmarkEnd w:id="13"/>
      <w:r>
        <w:rPr>
          <w:rFonts w:ascii="宋体" w:hAnsi="宋体" w:eastAsia="宋体"/>
          <w:color w:val="000000"/>
          <w:sz w:val="48"/>
          <w:szCs w:val="48"/>
        </w:rPr>
      </w:r>
      <w:r/>
    </w:p>
    <w:p>
      <w:pPr>
        <w:pStyle w:val="723"/>
        <w:jc w:val="center"/>
        <w:spacing w:line="360" w:lineRule="auto"/>
        <w:rPr>
          <w:rFonts w:ascii="宋体" w:hAnsi="宋体" w:eastAsia="宋体"/>
          <w:b/>
          <w:color w:val="000000"/>
          <w:sz w:val="32"/>
          <w:szCs w:val="32"/>
        </w:rPr>
      </w:pPr>
      <w:r>
        <w:rPr>
          <w:rFonts w:hint="eastAsia" w:ascii="宋体" w:hAnsi="宋体" w:eastAsia="宋体"/>
          <w:color w:val="000000"/>
          <w:sz w:val="32"/>
          <w:szCs w:val="32"/>
        </w:rPr>
        <w:br w:type="page" w:clear="all"/>
      </w:r>
      <w:r>
        <w:rPr>
          <w:rFonts w:ascii="宋体" w:hAnsi="宋体" w:eastAsia="宋体"/>
          <w:b/>
          <w:color w:val="000000"/>
          <w:sz w:val="32"/>
          <w:szCs w:val="32"/>
        </w:rPr>
      </w:r>
      <w:r/>
    </w:p>
    <w:p>
      <w:pPr>
        <w:pStyle w:val="723"/>
        <w:jc w:val="center"/>
        <w:spacing w:line="360" w:lineRule="auto"/>
        <w:rPr>
          <w:rFonts w:ascii="宋体" w:hAnsi="宋体" w:eastAsia="宋体"/>
          <w:b/>
          <w:sz w:val="44"/>
          <w:szCs w:val="44"/>
        </w:rPr>
      </w:pPr>
      <w:r/>
      <w:bookmarkEnd w:id="11"/>
      <w:r/>
      <w:bookmarkStart w:id="14" w:name="_Toc13642118"/>
      <w:r/>
      <w:bookmarkStart w:id="15" w:name="_Toc13889378"/>
      <w:r>
        <w:rPr>
          <w:rFonts w:hint="eastAsia" w:ascii="宋体" w:hAnsi="宋体" w:eastAsia="宋体"/>
          <w:b/>
          <w:sz w:val="44"/>
          <w:szCs w:val="44"/>
        </w:rPr>
        <w:t xml:space="preserve">政府采购合同</w:t>
      </w:r>
      <w:r>
        <w:rPr>
          <w:rFonts w:ascii="宋体" w:hAnsi="宋体" w:eastAsia="宋体"/>
          <w:b/>
          <w:sz w:val="44"/>
          <w:szCs w:val="44"/>
        </w:rPr>
      </w:r>
      <w:r/>
    </w:p>
    <w:p>
      <w:pPr>
        <w:pStyle w:val="723"/>
        <w:ind w:firstLine="482"/>
        <w:jc w:val="left"/>
        <w:spacing w:line="360" w:lineRule="auto"/>
        <w:rPr>
          <w:rFonts w:hint="eastAsia" w:ascii="宋体" w:hAnsi="宋体" w:eastAsia="宋体"/>
          <w:b/>
          <w:sz w:val="24"/>
          <w:szCs w:val="24"/>
        </w:rPr>
      </w:pPr>
      <w:r>
        <w:rPr>
          <w:rFonts w:hint="eastAsia" w:ascii="宋体" w:hAnsi="宋体" w:eastAsia="宋体"/>
          <w:b/>
          <w:sz w:val="24"/>
          <w:szCs w:val="24"/>
        </w:rPr>
        <w:t xml:space="preserve">项目名称：苏州市公安局轨道公交分局食堂食材配送服务</w:t>
      </w:r>
      <w:r/>
    </w:p>
    <w:p>
      <w:pPr>
        <w:pStyle w:val="723"/>
        <w:ind w:firstLine="482"/>
        <w:jc w:val="left"/>
        <w:spacing w:line="360" w:lineRule="auto"/>
        <w:rPr>
          <w:rFonts w:hint="eastAsia" w:ascii="宋体" w:hAnsi="宋体" w:eastAsia="宋体"/>
          <w:b/>
          <w:sz w:val="24"/>
          <w:szCs w:val="24"/>
        </w:rPr>
      </w:pPr>
      <w:r>
        <w:rPr>
          <w:rFonts w:hint="eastAsia" w:ascii="宋体" w:hAnsi="宋体" w:eastAsia="宋体"/>
          <w:b/>
          <w:sz w:val="24"/>
          <w:szCs w:val="24"/>
        </w:rPr>
        <w:t xml:space="preserve">项目编号：</w:t>
      </w:r>
      <w:r/>
    </w:p>
    <w:p>
      <w:pPr>
        <w:pStyle w:val="723"/>
        <w:ind w:firstLine="482"/>
        <w:jc w:val="left"/>
        <w:spacing w:line="360" w:lineRule="auto"/>
        <w:rPr>
          <w:rFonts w:hint="eastAsia" w:ascii="宋体" w:hAnsi="宋体" w:eastAsia="宋体"/>
          <w:b/>
          <w:sz w:val="24"/>
          <w:szCs w:val="24"/>
        </w:rPr>
      </w:pPr>
      <w:r>
        <w:rPr>
          <w:rFonts w:hint="eastAsia" w:ascii="宋体" w:hAnsi="宋体" w:eastAsia="宋体"/>
          <w:b/>
          <w:sz w:val="24"/>
          <w:szCs w:val="24"/>
        </w:rPr>
        <w:t xml:space="preserve">标段号：</w:t>
      </w:r>
      <w:r/>
    </w:p>
    <w:p>
      <w:pPr>
        <w:pStyle w:val="723"/>
        <w:rPr>
          <w:rFonts w:ascii="宋体" w:hAnsi="宋体" w:eastAsia="宋体"/>
          <w:sz w:val="24"/>
          <w:szCs w:val="24"/>
        </w:rPr>
      </w:pPr>
      <w:r>
        <w:rPr>
          <w:rFonts w:ascii="宋体" w:hAnsi="宋体" w:eastAsia="宋体"/>
          <w:sz w:val="24"/>
          <w:szCs w:val="24"/>
        </w:rPr>
      </w:r>
      <w:r/>
    </w:p>
    <w:p>
      <w:pPr>
        <w:pStyle w:val="723"/>
        <w:ind w:firstLine="480"/>
        <w:jc w:val="left"/>
        <w:spacing w:line="360" w:lineRule="auto"/>
        <w:rPr>
          <w:rFonts w:ascii="宋体" w:hAnsi="宋体" w:eastAsia="宋体"/>
          <w:sz w:val="24"/>
          <w:szCs w:val="24"/>
        </w:rPr>
      </w:pPr>
      <w:r>
        <w:rPr>
          <w:rFonts w:hint="eastAsia" w:ascii="宋体" w:hAnsi="宋体" w:eastAsia="宋体"/>
          <w:sz w:val="24"/>
          <w:szCs w:val="24"/>
        </w:rPr>
        <w:t xml:space="preserve">甲方：苏州市公安局</w:t>
      </w:r>
      <w:r>
        <w:rPr>
          <w:rFonts w:ascii="宋体" w:hAnsi="宋体" w:eastAsia="宋体"/>
          <w:sz w:val="24"/>
          <w:szCs w:val="24"/>
        </w:rPr>
      </w:r>
      <w:r/>
    </w:p>
    <w:p>
      <w:pPr>
        <w:pStyle w:val="723"/>
        <w:ind w:firstLine="480"/>
        <w:jc w:val="left"/>
        <w:spacing w:line="360" w:lineRule="auto"/>
        <w:rPr>
          <w:rFonts w:ascii="宋体" w:hAnsi="宋体" w:eastAsia="宋体"/>
          <w:sz w:val="24"/>
          <w:szCs w:val="24"/>
        </w:rPr>
      </w:pPr>
      <w:r>
        <w:rPr>
          <w:rFonts w:hint="eastAsia" w:ascii="宋体" w:hAnsi="宋体" w:eastAsia="宋体"/>
          <w:sz w:val="24"/>
          <w:szCs w:val="24"/>
        </w:rPr>
        <w:t xml:space="preserve">地址：苏州市人民路</w:t>
      </w:r>
      <w:r>
        <w:rPr>
          <w:rFonts w:ascii="宋体" w:hAnsi="宋体" w:eastAsia="宋体"/>
          <w:sz w:val="24"/>
          <w:szCs w:val="24"/>
        </w:rPr>
        <w:t xml:space="preserve">3998</w:t>
      </w:r>
      <w:r>
        <w:rPr>
          <w:rFonts w:hint="eastAsia" w:ascii="宋体" w:hAnsi="宋体" w:eastAsia="宋体"/>
          <w:sz w:val="24"/>
          <w:szCs w:val="24"/>
        </w:rPr>
        <w:t xml:space="preserve">号</w:t>
      </w:r>
      <w:r>
        <w:rPr>
          <w:rFonts w:ascii="宋体" w:hAnsi="宋体" w:eastAsia="宋体"/>
          <w:sz w:val="24"/>
          <w:szCs w:val="24"/>
        </w:rPr>
      </w:r>
      <w:r/>
    </w:p>
    <w:p>
      <w:pPr>
        <w:pStyle w:val="723"/>
        <w:ind w:firstLine="480"/>
        <w:jc w:val="left"/>
        <w:spacing w:line="360" w:lineRule="auto"/>
        <w:rPr>
          <w:rFonts w:ascii="宋体" w:hAnsi="宋体" w:eastAsia="宋体"/>
          <w:sz w:val="24"/>
          <w:szCs w:val="24"/>
        </w:rPr>
      </w:pPr>
      <w:r>
        <w:rPr>
          <w:rFonts w:hint="eastAsia" w:ascii="宋体" w:hAnsi="宋体" w:eastAsia="宋体"/>
          <w:sz w:val="24"/>
          <w:szCs w:val="24"/>
        </w:rPr>
        <w:t xml:space="preserve">联系人：</w:t>
      </w:r>
      <w:r>
        <w:rPr>
          <w:rFonts w:ascii="宋体" w:hAnsi="宋体" w:eastAsia="宋体"/>
          <w:sz w:val="24"/>
          <w:szCs w:val="24"/>
        </w:rPr>
      </w:r>
      <w:r/>
    </w:p>
    <w:p>
      <w:pPr>
        <w:pStyle w:val="723"/>
        <w:ind w:firstLine="480"/>
        <w:jc w:val="left"/>
        <w:spacing w:line="360" w:lineRule="auto"/>
        <w:rPr>
          <w:rFonts w:ascii="宋体" w:hAnsi="宋体" w:eastAsia="宋体"/>
          <w:sz w:val="24"/>
          <w:szCs w:val="24"/>
        </w:rPr>
      </w:pPr>
      <w:r>
        <w:rPr>
          <w:rFonts w:hint="eastAsia" w:ascii="宋体" w:hAnsi="宋体" w:eastAsia="宋体"/>
          <w:sz w:val="24"/>
          <w:szCs w:val="24"/>
        </w:rPr>
        <w:t xml:space="preserve">电话：</w:t>
      </w:r>
      <w:r>
        <w:rPr>
          <w:rFonts w:ascii="宋体" w:hAnsi="宋体" w:eastAsia="宋体"/>
          <w:sz w:val="24"/>
          <w:szCs w:val="24"/>
        </w:rPr>
      </w:r>
      <w:r/>
    </w:p>
    <w:p>
      <w:pPr>
        <w:pStyle w:val="723"/>
        <w:jc w:val="left"/>
        <w:spacing w:line="360" w:lineRule="auto"/>
        <w:rPr>
          <w:rFonts w:ascii="宋体" w:hAnsi="宋体" w:eastAsia="宋体"/>
          <w:sz w:val="24"/>
          <w:szCs w:val="24"/>
        </w:rPr>
      </w:pPr>
      <w:r>
        <w:rPr>
          <w:rFonts w:ascii="宋体" w:hAnsi="宋体" w:eastAsia="宋体"/>
          <w:sz w:val="24"/>
          <w:szCs w:val="24"/>
        </w:rPr>
      </w:r>
      <w:r/>
    </w:p>
    <w:p>
      <w:pPr>
        <w:pStyle w:val="723"/>
        <w:ind w:firstLine="480"/>
        <w:jc w:val="left"/>
        <w:spacing w:line="360" w:lineRule="auto"/>
        <w:rPr>
          <w:rFonts w:ascii="宋体" w:hAnsi="宋体" w:eastAsia="宋体"/>
          <w:sz w:val="24"/>
          <w:szCs w:val="24"/>
        </w:rPr>
      </w:pPr>
      <w:r>
        <w:rPr>
          <w:rFonts w:hint="eastAsia" w:ascii="宋体" w:hAnsi="宋体" w:eastAsia="宋体"/>
          <w:sz w:val="24"/>
          <w:szCs w:val="24"/>
        </w:rPr>
        <w:t xml:space="preserve">乙方：</w:t>
      </w:r>
      <w:r>
        <w:rPr>
          <w:rFonts w:ascii="宋体" w:hAnsi="宋体" w:eastAsia="宋体"/>
          <w:sz w:val="24"/>
          <w:szCs w:val="24"/>
        </w:rPr>
      </w:r>
      <w:r/>
    </w:p>
    <w:p>
      <w:pPr>
        <w:pStyle w:val="723"/>
        <w:ind w:firstLine="480"/>
        <w:jc w:val="left"/>
        <w:spacing w:line="360" w:lineRule="auto"/>
        <w:rPr>
          <w:rFonts w:ascii="宋体" w:hAnsi="宋体" w:eastAsia="宋体"/>
          <w:sz w:val="24"/>
          <w:szCs w:val="24"/>
        </w:rPr>
      </w:pPr>
      <w:r>
        <w:rPr>
          <w:rFonts w:hint="eastAsia" w:ascii="宋体" w:hAnsi="宋体" w:eastAsia="宋体"/>
          <w:sz w:val="24"/>
          <w:szCs w:val="24"/>
        </w:rPr>
        <w:t xml:space="preserve">地址：</w:t>
      </w:r>
      <w:r>
        <w:rPr>
          <w:rFonts w:ascii="宋体" w:hAnsi="宋体" w:eastAsia="宋体"/>
          <w:sz w:val="24"/>
          <w:szCs w:val="24"/>
        </w:rPr>
      </w:r>
      <w:r/>
    </w:p>
    <w:p>
      <w:pPr>
        <w:pStyle w:val="723"/>
        <w:ind w:firstLine="480"/>
        <w:jc w:val="left"/>
        <w:spacing w:line="360" w:lineRule="auto"/>
        <w:rPr>
          <w:rFonts w:ascii="宋体" w:hAnsi="宋体" w:eastAsia="宋体"/>
          <w:sz w:val="24"/>
          <w:szCs w:val="24"/>
        </w:rPr>
      </w:pPr>
      <w:r>
        <w:rPr>
          <w:rFonts w:hint="eastAsia" w:ascii="宋体" w:hAnsi="宋体" w:eastAsia="宋体"/>
          <w:sz w:val="24"/>
          <w:szCs w:val="24"/>
        </w:rPr>
        <w:t xml:space="preserve">联系人：</w:t>
      </w:r>
      <w:r>
        <w:rPr>
          <w:rFonts w:ascii="宋体" w:hAnsi="宋体" w:eastAsia="宋体"/>
          <w:sz w:val="24"/>
          <w:szCs w:val="24"/>
        </w:rPr>
      </w:r>
      <w:r/>
    </w:p>
    <w:p>
      <w:pPr>
        <w:pStyle w:val="723"/>
        <w:ind w:firstLine="480"/>
        <w:jc w:val="left"/>
        <w:spacing w:line="360" w:lineRule="auto"/>
        <w:rPr>
          <w:rFonts w:ascii="宋体" w:hAnsi="宋体" w:eastAsia="宋体"/>
          <w:sz w:val="24"/>
          <w:szCs w:val="24"/>
        </w:rPr>
      </w:pPr>
      <w:r>
        <w:rPr>
          <w:rFonts w:hint="eastAsia" w:ascii="宋体" w:hAnsi="宋体" w:eastAsia="宋体"/>
          <w:sz w:val="24"/>
          <w:szCs w:val="24"/>
        </w:rPr>
        <w:t xml:space="preserve">电话：</w:t>
      </w:r>
      <w:r>
        <w:rPr>
          <w:rFonts w:ascii="宋体" w:hAnsi="宋体" w:eastAsia="宋体"/>
          <w:sz w:val="24"/>
          <w:szCs w:val="24"/>
        </w:rPr>
      </w:r>
      <w:r/>
    </w:p>
    <w:p>
      <w:pPr>
        <w:pStyle w:val="723"/>
        <w:ind w:firstLine="480"/>
        <w:jc w:val="left"/>
        <w:spacing w:line="360" w:lineRule="auto"/>
        <w:rPr>
          <w:rFonts w:ascii="宋体" w:hAnsi="宋体" w:eastAsia="宋体"/>
          <w:sz w:val="24"/>
          <w:szCs w:val="24"/>
        </w:rPr>
      </w:pPr>
      <w:r>
        <w:rPr>
          <w:rFonts w:ascii="宋体" w:hAnsi="宋体" w:eastAsia="宋体"/>
          <w:sz w:val="24"/>
          <w:szCs w:val="24"/>
        </w:rPr>
      </w:r>
      <w:r/>
    </w:p>
    <w:p>
      <w:pPr>
        <w:pStyle w:val="723"/>
        <w:spacing w:line="360" w:lineRule="auto"/>
        <w:rPr>
          <w:rFonts w:ascii="宋体" w:hAnsi="宋体" w:cs="仿宋"/>
          <w:color w:val="000000"/>
          <w:szCs w:val="21"/>
        </w:rPr>
      </w:pPr>
      <w:r>
        <w:rPr>
          <w:rFonts w:ascii="宋体" w:hAnsi="宋体" w:cs="仿宋"/>
          <w:color w:val="000000"/>
          <w:szCs w:val="21"/>
        </w:rPr>
      </w:r>
      <w:r/>
    </w:p>
    <w:p>
      <w:pPr>
        <w:pStyle w:val="723"/>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根据《中华人民共和国民法典》等相关法律法规的规定，甲乙双方就此次成交的</w:t>
      </w:r>
      <w:r>
        <w:rPr>
          <w:rFonts w:hint="eastAsia" w:ascii="宋体" w:hAnsi="宋体" w:eastAsia="宋体" w:cs="仿宋"/>
          <w:color w:val="000000"/>
          <w:sz w:val="24"/>
          <w:szCs w:val="24"/>
          <w:u w:val="single"/>
        </w:rPr>
        <w:t xml:space="preserve">苏州市公安局轨道公交分局食堂食材配送服务</w:t>
      </w:r>
      <w:r>
        <w:rPr>
          <w:rFonts w:hint="eastAsia" w:ascii="宋体" w:hAnsi="宋体" w:eastAsia="宋体" w:cs="仿宋"/>
          <w:color w:val="000000"/>
          <w:sz w:val="24"/>
          <w:szCs w:val="24"/>
        </w:rPr>
        <w:t xml:space="preserve">项目（以下简称“本项目”）购销事宜，签订本合同书，以兹共同遵守。</w:t>
      </w:r>
      <w:r>
        <w:rPr>
          <w:rFonts w:ascii="宋体" w:hAnsi="宋体" w:eastAsia="宋体" w:cs="仿宋"/>
          <w:color w:val="000000"/>
          <w:sz w:val="24"/>
          <w:szCs w:val="24"/>
        </w:rPr>
      </w:r>
      <w:r/>
    </w:p>
    <w:p>
      <w:pPr>
        <w:pStyle w:val="723"/>
        <w:ind w:firstLine="482"/>
        <w:jc w:val="left"/>
        <w:spacing w:line="360" w:lineRule="auto"/>
        <w:rPr>
          <w:rFonts w:hint="eastAsia" w:ascii="宋体" w:hAnsi="宋体" w:eastAsia="宋体" w:cs="宋体"/>
          <w:b/>
          <w:bCs/>
          <w:sz w:val="24"/>
          <w:szCs w:val="24"/>
          <w:lang w:bidi="en-US"/>
        </w:rPr>
      </w:pPr>
      <w:r>
        <w:rPr>
          <w:rFonts w:hint="eastAsia" w:ascii="宋体" w:hAnsi="宋体" w:eastAsia="宋体" w:cs="宋体"/>
          <w:b/>
          <w:bCs/>
          <w:sz w:val="24"/>
          <w:szCs w:val="24"/>
          <w:lang w:bidi="en-US"/>
        </w:rPr>
        <w:t xml:space="preserve">一、合同内容</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1、配送内容：包括但不限于肉类（冰鲜/生鲜）、水产、冷冻品粮、油米面类、干货调料类、蛋奶类、果蔬类。</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2、配送地址：（根据标段具体内容填写）。</w:t>
      </w:r>
      <w:r/>
    </w:p>
    <w:p>
      <w:pPr>
        <w:pStyle w:val="723"/>
        <w:ind w:firstLine="480"/>
        <w:jc w:val="left"/>
        <w:spacing w:line="360" w:lineRule="auto"/>
        <w:rPr>
          <w:rFonts w:hint="eastAsia" w:ascii="宋体" w:hAnsi="宋体" w:eastAsia="宋体" w:cs="宋体"/>
          <w:bCs/>
          <w:sz w:val="24"/>
          <w:szCs w:val="24"/>
          <w:lang w:bidi="en-US"/>
        </w:rPr>
      </w:pPr>
      <w:r>
        <w:rPr>
          <w:rFonts w:hint="eastAsia" w:ascii="宋体" w:hAnsi="宋体" w:eastAsia="宋体" w:cs="宋体"/>
          <w:sz w:val="24"/>
          <w:szCs w:val="24"/>
        </w:rPr>
        <w:t xml:space="preserve">3、下列文件为本合同不可分割部分，并构成一个整体，需综合解释、相互补充。如果下列文件内容出现不一致的情形，在保证按照采购文件确定的事项的前提下，组成本合同的多个文件的优先适用顺序如下：</w:t>
      </w:r>
      <w:r>
        <w:rPr>
          <w:rFonts w:hint="eastAsia" w:ascii="宋体" w:hAnsi="宋体" w:eastAsia="宋体" w:cs="宋体"/>
          <w:bCs/>
          <w:sz w:val="24"/>
          <w:szCs w:val="24"/>
          <w:lang w:bidi="en-US"/>
        </w:rPr>
      </w:r>
      <w:r/>
    </w:p>
    <w:p>
      <w:pPr>
        <w:pStyle w:val="723"/>
        <w:ind w:firstLine="480"/>
        <w:jc w:val="left"/>
        <w:spacing w:line="360" w:lineRule="auto"/>
        <w:rPr>
          <w:rFonts w:hint="eastAsia" w:ascii="宋体" w:hAnsi="宋体" w:eastAsia="宋体" w:cs="宋体"/>
          <w:bCs/>
          <w:sz w:val="24"/>
          <w:szCs w:val="24"/>
          <w:lang w:bidi="en-US"/>
        </w:rPr>
      </w:pPr>
      <w:r>
        <w:rPr>
          <w:rFonts w:hint="eastAsia" w:ascii="宋体" w:hAnsi="宋体" w:eastAsia="宋体" w:cs="宋体"/>
          <w:bCs/>
          <w:sz w:val="24"/>
          <w:szCs w:val="24"/>
          <w:lang w:bidi="en-US"/>
        </w:rPr>
        <w:t xml:space="preserve">（1）本合同书及本合同书签署后各方以书面形式确认的补充协议等；</w:t>
      </w:r>
      <w:r/>
    </w:p>
    <w:p>
      <w:pPr>
        <w:pStyle w:val="723"/>
        <w:ind w:firstLine="480"/>
        <w:jc w:val="left"/>
        <w:spacing w:line="360" w:lineRule="auto"/>
        <w:rPr>
          <w:rFonts w:hint="eastAsia" w:ascii="宋体" w:hAnsi="宋体" w:eastAsia="宋体" w:cs="宋体"/>
          <w:bCs/>
          <w:sz w:val="24"/>
          <w:szCs w:val="24"/>
          <w:lang w:bidi="en-US"/>
        </w:rPr>
      </w:pPr>
      <w:r>
        <w:rPr>
          <w:rFonts w:hint="eastAsia" w:ascii="宋体" w:hAnsi="宋体" w:eastAsia="宋体" w:cs="宋体"/>
          <w:bCs/>
          <w:sz w:val="24"/>
          <w:szCs w:val="24"/>
          <w:lang w:bidi="en-US"/>
        </w:rPr>
        <w:t xml:space="preserve">（2）中标通知书；</w:t>
      </w:r>
      <w:r/>
    </w:p>
    <w:p>
      <w:pPr>
        <w:pStyle w:val="723"/>
        <w:ind w:firstLine="480"/>
        <w:jc w:val="left"/>
        <w:spacing w:line="360" w:lineRule="auto"/>
        <w:rPr>
          <w:rFonts w:hint="eastAsia" w:ascii="宋体" w:hAnsi="宋体" w:eastAsia="宋体" w:cs="宋体"/>
          <w:bCs/>
          <w:sz w:val="24"/>
          <w:szCs w:val="24"/>
          <w:lang w:bidi="en-US"/>
        </w:rPr>
      </w:pPr>
      <w:r>
        <w:rPr>
          <w:rFonts w:hint="eastAsia" w:ascii="宋体" w:hAnsi="宋体" w:eastAsia="宋体" w:cs="宋体"/>
          <w:bCs/>
          <w:sz w:val="24"/>
          <w:szCs w:val="24"/>
          <w:lang w:bidi="en-US"/>
        </w:rPr>
        <w:t xml:space="preserve">（3）招标文件及其附件；</w:t>
      </w:r>
      <w:r/>
    </w:p>
    <w:p>
      <w:pPr>
        <w:pStyle w:val="723"/>
        <w:ind w:firstLine="480"/>
        <w:jc w:val="left"/>
        <w:spacing w:line="360" w:lineRule="auto"/>
        <w:rPr>
          <w:rFonts w:hint="eastAsia" w:ascii="宋体" w:hAnsi="宋体" w:eastAsia="宋体" w:cs="宋体"/>
          <w:bCs/>
          <w:sz w:val="24"/>
          <w:szCs w:val="24"/>
          <w:lang w:bidi="en-US"/>
        </w:rPr>
      </w:pPr>
      <w:r>
        <w:rPr>
          <w:rFonts w:hint="eastAsia" w:ascii="宋体" w:hAnsi="宋体" w:eastAsia="宋体" w:cs="宋体"/>
          <w:bCs/>
          <w:sz w:val="24"/>
          <w:szCs w:val="24"/>
          <w:lang w:bidi="en-US"/>
        </w:rPr>
        <w:t xml:space="preserve">（4）乙方的投标（响应）文件；</w:t>
      </w:r>
      <w:r/>
    </w:p>
    <w:p>
      <w:pPr>
        <w:pStyle w:val="723"/>
        <w:ind w:firstLine="480"/>
        <w:jc w:val="left"/>
        <w:spacing w:line="360" w:lineRule="auto"/>
        <w:rPr>
          <w:rFonts w:hint="eastAsia" w:ascii="宋体" w:hAnsi="宋体" w:eastAsia="宋体" w:cs="宋体"/>
          <w:bCs/>
          <w:sz w:val="24"/>
          <w:szCs w:val="24"/>
          <w:lang w:bidi="en-US"/>
        </w:rPr>
      </w:pPr>
      <w:r>
        <w:rPr>
          <w:rFonts w:hint="eastAsia" w:ascii="宋体" w:hAnsi="宋体" w:eastAsia="宋体" w:cs="宋体"/>
          <w:bCs/>
          <w:sz w:val="24"/>
          <w:szCs w:val="24"/>
          <w:lang w:bidi="en-US"/>
        </w:rPr>
        <w:t xml:space="preserve">（5）乙方在招投标过程中所作的其它承诺、声明、书面澄清等。</w:t>
      </w:r>
      <w:r/>
    </w:p>
    <w:p>
      <w:pPr>
        <w:pStyle w:val="723"/>
        <w:ind w:firstLine="480"/>
        <w:jc w:val="left"/>
        <w:spacing w:line="360" w:lineRule="auto"/>
        <w:rPr>
          <w:rFonts w:hint="eastAsia" w:ascii="宋体" w:hAnsi="宋体" w:eastAsia="宋体" w:cs="宋体"/>
          <w:bCs/>
          <w:sz w:val="24"/>
          <w:szCs w:val="24"/>
          <w:lang w:bidi="en-US"/>
        </w:rPr>
      </w:pPr>
      <w:r>
        <w:rPr>
          <w:rFonts w:hint="eastAsia" w:ascii="宋体" w:hAnsi="宋体" w:eastAsia="宋体" w:cs="宋体"/>
          <w:bCs/>
          <w:sz w:val="24"/>
          <w:szCs w:val="24"/>
          <w:lang w:bidi="en-US"/>
        </w:rPr>
        <w:t xml:space="preserve">4、合同履行期限：</w:t>
      </w:r>
      <w:r>
        <w:rPr>
          <w:rFonts w:hint="eastAsia" w:ascii="宋体" w:hAnsi="宋体" w:eastAsia="宋体" w:cs="宋体"/>
          <w:sz w:val="24"/>
          <w:szCs w:val="24"/>
        </w:rPr>
        <w:t xml:space="preserve">自服务开始之日起一年，具体开始时间以甲方通知为准。每个标段的结算金额达到预算金额总价或合同履行期限到期，本标段自动终止。</w:t>
      </w:r>
      <w:r>
        <w:rPr>
          <w:rFonts w:hint="eastAsia" w:ascii="宋体" w:hAnsi="宋体" w:eastAsia="宋体" w:cs="宋体"/>
          <w:bCs/>
          <w:sz w:val="24"/>
          <w:szCs w:val="24"/>
          <w:lang w:bidi="en-US"/>
        </w:rPr>
      </w:r>
      <w:r/>
    </w:p>
    <w:p>
      <w:pPr>
        <w:pStyle w:val="723"/>
        <w:ind w:firstLine="482"/>
        <w:jc w:val="left"/>
        <w:spacing w:line="360" w:lineRule="auto"/>
        <w:rPr>
          <w:rFonts w:hint="eastAsia" w:ascii="宋体" w:hAnsi="宋体" w:eastAsia="宋体" w:cs="宋体"/>
          <w:b/>
          <w:bCs/>
          <w:sz w:val="24"/>
          <w:szCs w:val="24"/>
          <w:lang w:bidi="en-US"/>
        </w:rPr>
      </w:pPr>
      <w:r>
        <w:rPr>
          <w:rFonts w:hint="eastAsia" w:ascii="宋体" w:hAnsi="宋体" w:eastAsia="宋体" w:cs="宋体"/>
          <w:b/>
          <w:bCs/>
          <w:sz w:val="24"/>
          <w:szCs w:val="24"/>
          <w:lang w:bidi="en-US"/>
        </w:rPr>
        <w:t xml:space="preserve">二、价格及结算</w:t>
      </w:r>
      <w:r/>
    </w:p>
    <w:p>
      <w:pPr>
        <w:pStyle w:val="723"/>
        <w:ind w:firstLine="480"/>
        <w:spacing w:line="360" w:lineRule="auto"/>
        <w:rPr>
          <w:rFonts w:hint="eastAsia" w:ascii="宋体" w:hAnsi="宋体" w:eastAsia="宋体" w:cs="宋体"/>
          <w:bCs/>
          <w:color w:val="000000"/>
          <w:sz w:val="24"/>
          <w:szCs w:val="24"/>
          <w:lang w:bidi="en-US"/>
        </w:rPr>
      </w:pPr>
      <w:r>
        <w:rPr>
          <w:rFonts w:hint="eastAsia" w:ascii="宋体" w:hAnsi="宋体" w:eastAsia="宋体" w:cs="宋体"/>
          <w:bCs/>
          <w:sz w:val="24"/>
          <w:szCs w:val="24"/>
          <w:lang w:bidi="en-US"/>
        </w:rPr>
        <w:t xml:space="preserve">1、本标段投标优惠率</w:t>
      </w:r>
      <w:r>
        <w:rPr>
          <w:rFonts w:hint="eastAsia" w:ascii="宋体" w:hAnsi="宋体" w:eastAsia="宋体" w:cs="宋体"/>
          <w:bCs/>
          <w:sz w:val="24"/>
          <w:szCs w:val="24"/>
          <w:u w:val="single"/>
          <w:lang w:bidi="en-US"/>
        </w:rPr>
        <w:t xml:space="preserve">：                 ，</w:t>
      </w:r>
      <w:r>
        <w:rPr>
          <w:rFonts w:hint="eastAsia" w:ascii="宋体" w:hAnsi="宋体" w:eastAsia="宋体" w:cs="宋体"/>
          <w:bCs/>
          <w:sz w:val="24"/>
          <w:szCs w:val="24"/>
          <w:lang w:bidi="en-US"/>
        </w:rPr>
        <w:t xml:space="preserve">本标段预算金额</w:t>
      </w:r>
      <w:r>
        <w:rPr>
          <w:rFonts w:hint="eastAsia" w:ascii="宋体" w:hAnsi="宋体" w:eastAsia="宋体" w:cs="宋体"/>
          <w:bCs/>
          <w:sz w:val="24"/>
          <w:szCs w:val="24"/>
          <w:u w:val="single"/>
          <w:lang w:bidi="en-US"/>
        </w:rPr>
        <w:t xml:space="preserve">            </w:t>
      </w:r>
      <w:r>
        <w:rPr>
          <w:rFonts w:hint="eastAsia" w:ascii="宋体" w:hAnsi="宋体" w:eastAsia="宋体" w:cs="宋体"/>
          <w:bCs/>
          <w:sz w:val="24"/>
          <w:szCs w:val="24"/>
          <w:lang w:bidi="en-US"/>
        </w:rPr>
        <w:t xml:space="preserve">元。</w:t>
      </w:r>
      <w:r>
        <w:rPr>
          <w:rFonts w:hint="eastAsia" w:ascii="宋体" w:hAnsi="宋体" w:eastAsia="宋体" w:cs="宋体"/>
          <w:bCs/>
          <w:color w:val="000000"/>
          <w:sz w:val="24"/>
          <w:szCs w:val="24"/>
          <w:lang w:bidi="en-US"/>
        </w:rPr>
        <w:t xml:space="preserve">（</w:t>
      </w:r>
      <w:r>
        <w:rPr>
          <w:rFonts w:hint="eastAsia" w:ascii="宋体" w:hAnsi="宋体" w:eastAsia="宋体" w:cs="宋体"/>
          <w:sz w:val="24"/>
          <w:szCs w:val="24"/>
          <w:lang w:val="zh-CN"/>
        </w:rPr>
        <w:t xml:space="preserve">应包括配送服务、设备、材料、人工、食宿、差旅、加班、税费、技术支持与培训及相关劳务支出、招标代理服务费等履行本合同所发生的全部费用以及中标单位的企业利润、税金和政策性文件规定及合同包含的所有风险、责任等各项应有费用。</w:t>
      </w:r>
      <w:r>
        <w:rPr>
          <w:rFonts w:hint="eastAsia" w:ascii="宋体" w:hAnsi="宋体" w:eastAsia="宋体" w:cs="宋体"/>
          <w:bCs/>
          <w:color w:val="000000"/>
          <w:sz w:val="24"/>
          <w:szCs w:val="24"/>
          <w:lang w:bidi="en-US"/>
        </w:rPr>
        <w:t xml:space="preserve">）</w:t>
      </w:r>
      <w:r/>
    </w:p>
    <w:p>
      <w:pPr>
        <w:pStyle w:val="723"/>
        <w:ind w:firstLine="480"/>
        <w:spacing w:line="360" w:lineRule="auto"/>
        <w:rPr>
          <w:rFonts w:hint="eastAsia" w:ascii="宋体" w:hAnsi="宋体" w:eastAsia="宋体" w:cs="宋体"/>
          <w:bCs/>
          <w:sz w:val="24"/>
          <w:szCs w:val="24"/>
          <w:lang w:bidi="en-US"/>
        </w:rPr>
      </w:pPr>
      <w:r>
        <w:rPr>
          <w:rFonts w:hint="eastAsia" w:ascii="宋体" w:hAnsi="宋体" w:eastAsia="宋体" w:cs="宋体"/>
          <w:bCs/>
          <w:sz w:val="24"/>
          <w:szCs w:val="24"/>
          <w:lang w:bidi="en-US"/>
        </w:rPr>
        <w:t xml:space="preserve">2、供货基准价格：</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（1）以苏州市发展和改革委员会官方网站价格在线页面公布的每日均价；</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发改委官方网页上没有的品目种类，则由甲方、食堂使用方、乙方三方成立询价小组，在确定下一批次配送食材清单之前，通过走访南环桥批发市场或甲方所在地周边的大型商超、大型农贸市场，对下一批次拟配送食材的价格进行询价。每一类菜品询价来源不得少于3家，取3家的均价作为定价依据。询价单须由询价小组成员共同签字确认，并附在当批次的供货清单中计入台账。</w:t>
      </w:r>
      <w:r/>
    </w:p>
    <w:p>
      <w:pPr>
        <w:pStyle w:val="723"/>
        <w:ind w:firstLine="480"/>
        <w:spacing w:line="360" w:lineRule="auto"/>
        <w:rPr>
          <w:rFonts w:hint="eastAsia" w:ascii="宋体" w:hAnsi="宋体" w:eastAsia="宋体" w:cs="宋体"/>
          <w:bCs/>
          <w:sz w:val="24"/>
          <w:szCs w:val="24"/>
          <w:lang w:bidi="en-US"/>
        </w:rPr>
      </w:pPr>
      <w:r>
        <w:rPr>
          <w:rFonts w:hint="eastAsia" w:ascii="宋体" w:hAnsi="宋体" w:eastAsia="宋体" w:cs="宋体"/>
          <w:sz w:val="24"/>
          <w:szCs w:val="24"/>
        </w:rPr>
        <w:t xml:space="preserve">（3）每批次供货前由甲乙双方根据上述说明确定本项目供货价。最终结算价格按双方确定的供货价乘以（1-优惠率）为准，且最终结算价格不得高于市场零售价。</w:t>
      </w:r>
      <w:r>
        <w:rPr>
          <w:rFonts w:hint="eastAsia" w:ascii="宋体" w:hAnsi="宋体" w:eastAsia="宋体" w:cs="宋体"/>
          <w:bCs/>
          <w:sz w:val="24"/>
          <w:szCs w:val="24"/>
          <w:lang w:bidi="en-US"/>
        </w:rPr>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bCs/>
          <w:sz w:val="24"/>
          <w:szCs w:val="24"/>
          <w:lang w:bidi="en-US"/>
        </w:rPr>
        <w:t xml:space="preserve">3、费用结算：费用每月结算一次。费用结算=甲乙双方确定供货价×（1-优惠率），</w:t>
      </w:r>
      <w:r>
        <w:rPr>
          <w:rFonts w:hint="eastAsia" w:ascii="宋体" w:hAnsi="宋体" w:eastAsia="宋体" w:cs="宋体"/>
          <w:sz w:val="24"/>
          <w:szCs w:val="24"/>
        </w:rPr>
        <w:t xml:space="preserve">所有食材均按实结算，若乙方实际提供的价格低于优惠后价格，则以最低价为准。双方根据合同约定的考核办法进行考核，并约定乙方的服务工作目标。</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4、除上述费用外，甲方无需承担其他费用，因配送产生的人工、包装、运输、装卸、保险、运费、各种税费及乙方应当提供的伴随服务/售后服务等一切应有费用均由乙方自行承担。</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5、甲方每次付款前，乙方须向甲方提供以下材料：</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（1）合法有效且符合甲方要求的发票；</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（2）送货凭证。</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若乙方未按约提供上述材料的，甲方有权迟延付款且不承担逾期付款的违约责任。</w:t>
      </w:r>
      <w:r/>
    </w:p>
    <w:p>
      <w:pPr>
        <w:pStyle w:val="723"/>
        <w:ind w:firstLine="465"/>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6、</w:t>
      </w:r>
      <w:r>
        <w:rPr>
          <w:rFonts w:hint="eastAsia" w:ascii="宋体" w:hAnsi="宋体" w:eastAsia="宋体" w:cs="宋体"/>
          <w:color w:val="000000"/>
          <w:sz w:val="24"/>
          <w:szCs w:val="24"/>
        </w:rPr>
        <w:t xml:space="preserve">付款方式：银行转账或数字人民币转账。</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（1）乙方数字人民币账户信息如下：</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账户名：</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开户行：</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数字人民币账号（数币钱包ID）：</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（2）乙方银行转账账户信息如下：</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开户名称：</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银行账号：</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7、履约保证金</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(1)乙方应在合同签订后【15】日内向甲方提交本合同价款【10%】的履约保证金，履约保证金可以以支票、汇票、本票或者金融机构、担保机构出具的履约保函等非现金形式提交。</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无正当理由拖延或拒不提交履约保证金的，甲方有权解除本合同，乙方应向甲方支付本合同总金额5%的违约金，给甲方造成损失的，乙方应赔偿甲方一切直接、间接损失；甲方书面同意乙方延期提交履约保证金的除外。</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服务期满、服务缺陷全部更正完毕，且甲方收到乙方提供的经双方签章的《政府采购合同履行验收报告》后，甲方凭乙方的收款收据在60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在乙方以转账、现金（包括数字人民币账户支付）的方式支付履约保证金的情况下，若甲方超期未退还，乙方应通过书面形式进行提醒和催告，经乙方提醒催告后10日内甲方仍未退还的，每逾期一日，则应以逾期退还的履约保证金金额为基数，按照全国银行间同业拆借中心公布的一年期贷款市场报价利率÷360，向乙方支付违约金；在乙方以第三方担保的方式提供履约担保的情况下，如第三方担保期限已经届满或担保义务免除，则视为甲方返还履约保证金的义务消灭，甲方无需实际返还行为。</w:t>
      </w:r>
      <w:r>
        <w:rPr>
          <w:rFonts w:hint="eastAsia" w:ascii="宋体" w:hAnsi="宋体" w:eastAsia="宋体" w:cs="宋体"/>
          <w:sz w:val="24"/>
          <w:szCs w:val="24"/>
        </w:rPr>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pStyle w:val="723"/>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三、甲乙双方权利、义务</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所供食品，必须符合国家食品法规定的食品标准，并符合本合同及招标文件要求，如出现食品卫生质量问题而引起的损失，由乙方全部赔偿并无条件退货或换货，造成严重后果的，按国家相关法律规定处理。凡发生一次因卫生质量问题而退货或换货，乙方向甲方赔偿损失货物价两倍的违约金。</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2、乙方必须持有食品经营许可证、营业执照以及其他相关证照，且经营状况良好。</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3、乙方在供货时不得提供以下食品：</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(1)无品名、产地、厂名、生产日期、保质期与中文标识及原料说明的定型包装食品。如无包装之类的早点，由甲方负责质量把关，但甲方不对食品质量问题承担任何责任。</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(2)超过保质期限、保质期不足1/2时间的、不符合食品标签规定的定型包装食品。</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(3)腐败变质、油脂酸败、霉变、生虫、污秽不洁、混有异物或者其他感官性状异常，含毒、有害物质污染，可能对人体健康有害的食品。</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(4)病死或者死因不明的水产品、畜、禽及其制品、劣质食用油、不合格调味品、工业用盐、非碘盐或非食品原料和滥用食品添加剂、农药残留超标的蔬菜等。</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必须根据甲方提出的食品、品牌、规格、数量和质量要求送货，并在甲方规定的时间内及时送达甲方指定地点。如商品缺货，乙方应立即告知甲方，并根据甲方要求予以调整。乙方不按规定时间及地点送达的，将罚款【2000】元/次，并承担违约责任。</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5、乙方提供的商品价格包括应由乙方承担的税金、运输费用等全部费用，甲方按本合同约定费用结算货款后不再支付任何其他费用。</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6、因乙方所供应食品的质量问题引起甲方员工食物中毒等食源性疾病的发生或其他事故由乙方负全部责任，并承担由此引起的全部经济损失及相应的法律责任。</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7、甲方应在乙方完成送货且经阶段（月度）验收合格后次月内向乙方付清前一个月发生的货款，不得拖欠。</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8、甲方建立食品索证制度及食品验收制度，向乙方索取食品的检验合格证或者检验报告，并进行验收。做好索证登记工作，加强食品库房管理。</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9、若甲方有特殊情况需临时要求供货，乙方须按照投标文件中承诺的应急预案执行，并在甲方规定的合理时间内送货至甲方指定地点。</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10、如乙方出现重大责任事故，甲方有权取消其配送资格并解除本合同，乙方不得继续为甲方提供所有物资的配送。</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sz w:val="24"/>
          <w:szCs w:val="24"/>
        </w:rPr>
        <w:t xml:space="preserve">11、如因乙方的原因造成甲方服务出现空档期等未按照相关要求及时供货的，甲方有权要求乙方从第三方采购，乙方需承担赔偿一切直接、间接损失及产生的费用。</w:t>
      </w:r>
      <w:r>
        <w:rPr>
          <w:rFonts w:hint="eastAsia" w:ascii="宋体" w:hAnsi="宋体" w:eastAsia="宋体" w:cs="宋体"/>
          <w:sz w:val="24"/>
          <w:szCs w:val="24"/>
        </w:rPr>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12、因为甲方拒收，导致乙方逾期送货造成的后果由乙方自行承担。</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13、甲、乙双方均自觉遵守国家有关法律、法规。</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14、如有未尽事宜，则由甲方、乙方另行协商决定。</w:t>
      </w:r>
      <w:r/>
    </w:p>
    <w:p>
      <w:pPr>
        <w:pStyle w:val="723"/>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四、配送频率要求</w:t>
      </w:r>
      <w:r>
        <w:rPr>
          <w:rFonts w:hint="eastAsia" w:ascii="宋体" w:hAnsi="宋体" w:eastAsia="宋体" w:cs="宋体"/>
          <w:sz w:val="24"/>
          <w:szCs w:val="24"/>
        </w:rPr>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1、每天送货【  】次，应急配送的在收到通知后【】小时内响应，【  】小时内完成或提出解决方案。</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提前向乙方发送每日采购清单，采取邮件发送或微信联系等方式告知清单，乙方必须仔细核对采购清单，确保所需的食品原材料品种、规格、品牌、数量、质量等准确无误，并按投标文件内响应的时间及时送达。乙方向甲方提供商品的品牌、规格必须与甲方告知的采购清单内容一致，严禁擅自更换商品品牌、规格。</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3、配送车辆符合国家食品运输相关规定。</w:t>
      </w:r>
      <w:r/>
    </w:p>
    <w:p>
      <w:pPr>
        <w:pStyle w:val="723"/>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五、验收标准及要求</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1、验收标准：按照招标文件及国家标准执行。原材料验收由甲方、乙方、食堂使用方，三方现场检验，对供应产品的质量无异议数量准确无误后，三方签字，各自留存。</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本次食堂采购验收流程分为日常验收、阶段（月度）验收、最终验收三档。</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（1）日常验收内容为对每日配送的食材进行检验检查，对存在问题的食材或配送流程进行处理并形成纸质台账记录在案；</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（2）阶段（月度）验收内容为对日常验收的相关台账资料进行检查，对配送服务进行月度打分，打分结果关系到月度付款金额比例，具体考核办法详见附件；</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（3）最终验收内容为对整个项目周期的所有验收资料台账及付款结果进行核验。</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验收标准参考采购文件第四章采购需求中“配送质量要求及对配送产品品质的基本要求”的标准。</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2、数量方面要求：保证配送品种斤两的准确性，以甲方的验货数量为准。</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3、质量方面要求：在供货期间，若甲方对乙方所供货物质量产生异议，送质量检测部门检验。如检验不合格，检验费用由乙方承担，同时，</w:t>
      </w:r>
      <w:r>
        <w:rPr>
          <w:rFonts w:hint="eastAsia" w:ascii="宋体" w:hAnsi="宋体" w:eastAsia="宋体" w:cs="宋体"/>
          <w:color w:val="000000"/>
          <w:sz w:val="24"/>
          <w:szCs w:val="24"/>
        </w:rPr>
        <w:t xml:space="preserve">乙方应向甲方支付本合同总价款20%的违约金，并赔偿甲方一切损失</w:t>
      </w:r>
      <w:r>
        <w:rPr>
          <w:rFonts w:hint="eastAsia" w:ascii="宋体" w:hAnsi="宋体" w:eastAsia="宋体" w:cs="宋体"/>
          <w:sz w:val="24"/>
          <w:szCs w:val="24"/>
        </w:rPr>
        <w:t xml:space="preserve">。</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在合同期内应切实做到：保质保量准时送货。凡所供货物的质量、品种、数量与要求不符时，甲方有权拒收，乙方配合补齐或调换符合要求的货物，因此造成的逾期责任按本合同相关条款履行违约责任，并由乙方承担由此造成的经济损失。</w:t>
      </w:r>
      <w:r/>
    </w:p>
    <w:p>
      <w:pPr>
        <w:pStyle w:val="723"/>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5、留样要求：留样食材的种类和数量。每天配送的食材必须留样，每个品种的留样量不少于100克。</w:t>
      </w:r>
      <w:r/>
    </w:p>
    <w:p>
      <w:pPr>
        <w:pStyle w:val="723"/>
        <w:ind w:firstLine="7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5.1留样程序：留样食材应按品种分别盛放于清洗消毒后的密闭专用容器内。在食材接收后第一时间进行留样操作。留样食材应立即存放在专用冷藏箱中，在0°C至5°C的条件下冷藏保存至少48小时以上。</w:t>
      </w:r>
      <w:r/>
    </w:p>
    <w:p>
      <w:pPr>
        <w:pStyle w:val="723"/>
        <w:ind w:firstLine="7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5.2留样人员的责任：留样的采集和保管必须有专人负责，无关人员不得擅自操作或挪动留样食材。</w:t>
      </w:r>
      <w:r/>
    </w:p>
    <w:p>
      <w:pPr>
        <w:pStyle w:val="723"/>
        <w:ind w:firstLine="7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5.3记录和保存：每次留样都必须详细记录，包括食材样源、食材名称、留样时间、留样人的信息等，以备检查。留样记录本的保存期限不少于十二个月。</w:t>
      </w:r>
      <w:r/>
    </w:p>
    <w:p>
      <w:pPr>
        <w:pStyle w:val="723"/>
        <w:ind w:firstLine="7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5.4设施要求：食材留样柜必须保持全天24小时正常启用，且柜内不得存放其他生、熟食品以防交叉污染。食材留样冰箱为专用设备，严禁存放与留样食材无关的物品。</w:t>
      </w:r>
      <w:r/>
    </w:p>
    <w:p>
      <w:pPr>
        <w:pStyle w:val="723"/>
        <w:ind w:firstLine="480"/>
        <w:spacing w:line="360" w:lineRule="auto"/>
        <w:rPr>
          <w:rFonts w:hint="eastAsia" w:ascii="宋体" w:hAnsi="宋体" w:eastAsia="宋体" w:cs="宋体"/>
          <w:b/>
          <w:bCs/>
          <w:color w:val="000000"/>
          <w:sz w:val="24"/>
          <w:szCs w:val="24"/>
        </w:rPr>
        <w:outlineLvl w:val="0"/>
      </w:pPr>
      <w:r>
        <w:rPr>
          <w:rFonts w:hint="eastAsia" w:ascii="宋体" w:hAnsi="宋体" w:eastAsia="宋体" w:cs="宋体"/>
          <w:b/>
          <w:sz w:val="24"/>
          <w:szCs w:val="24"/>
        </w:rPr>
        <w:t xml:space="preserve">六、</w:t>
      </w:r>
      <w:r>
        <w:rPr>
          <w:rFonts w:hint="eastAsia" w:ascii="宋体" w:hAnsi="宋体" w:eastAsia="宋体" w:cs="宋体"/>
          <w:b/>
          <w:bCs/>
          <w:color w:val="000000"/>
          <w:sz w:val="24"/>
          <w:szCs w:val="24"/>
        </w:rPr>
        <w:t xml:space="preserve">分包与转包</w:t>
      </w:r>
      <w:r/>
    </w:p>
    <w:p>
      <w:pPr>
        <w:pStyle w:val="723"/>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（一）本合同项目不得转包与分包。</w:t>
      </w:r>
      <w:r/>
    </w:p>
    <w:p>
      <w:pPr>
        <w:pStyle w:val="723"/>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（二）如乙方存在分包或转包行为，甲方有权解除合同，乙方须返还全部已支付价款，并向甲方支付合同总金额20%的违约金。</w:t>
      </w:r>
      <w:r/>
    </w:p>
    <w:p>
      <w:pPr>
        <w:pStyle w:val="723"/>
        <w:ind w:firstLine="482"/>
        <w:spacing w:line="360" w:lineRule="auto"/>
        <w:rPr>
          <w:rFonts w:hint="eastAsia" w:ascii="宋体" w:hAnsi="宋体" w:eastAsia="宋体" w:cs="宋体"/>
          <w:b/>
          <w:sz w:val="24"/>
          <w:szCs w:val="24"/>
        </w:rPr>
      </w:pPr>
      <w:r>
        <w:rPr>
          <w:rFonts w:hint="eastAsia" w:ascii="宋体" w:hAnsi="宋体" w:eastAsia="宋体" w:cs="宋体"/>
          <w:color w:val="000000"/>
          <w:sz w:val="24"/>
          <w:szCs w:val="24"/>
        </w:rPr>
        <w:t xml:space="preserve">（三）因分包或转包导致甲方遭受损失的，乙方应赔偿甲方一切直接和间接损失。</w:t>
      </w:r>
      <w:r>
        <w:rPr>
          <w:rFonts w:hint="eastAsia" w:ascii="宋体" w:hAnsi="宋体" w:eastAsia="宋体" w:cs="宋体"/>
          <w:b/>
          <w:sz w:val="24"/>
          <w:szCs w:val="24"/>
        </w:rPr>
      </w:r>
      <w:r/>
    </w:p>
    <w:p>
      <w:pPr>
        <w:pStyle w:val="723"/>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七、违约责任</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1、在合同生效后，乙方无正当理由解除合同的，应向甲方支付合同总价款20%的违约金，违约金不足以补偿损失的，甲方有权要求乙方补足。</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2、乙方未按甲方规定时间及地点配送商品的，每发生一次，应向甲方支付【2000】元的违约金，违约金不足以补偿损失的，甲方有权要求乙方补足。</w:t>
      </w:r>
      <w:bookmarkStart w:id="16" w:name="_Hlk202192953"/>
      <w:r>
        <w:rPr>
          <w:rFonts w:hint="eastAsia" w:ascii="宋体" w:hAnsi="宋体" w:eastAsia="宋体" w:cs="宋体"/>
          <w:color w:val="000000"/>
          <w:sz w:val="24"/>
          <w:szCs w:val="24"/>
        </w:rPr>
        <w:t xml:space="preserve">如乙方未按期按合同约定配送货物超过 3日，甲方有权解除合同。同时，乙方应向甲方支付本合同总价款20%的违约金，并赔偿因此给甲方造成的损失。</w:t>
      </w:r>
      <w:bookmarkEnd w:id="16"/>
      <w:r>
        <w:rPr>
          <w:rFonts w:hint="eastAsia" w:ascii="宋体" w:hAnsi="宋体" w:eastAsia="宋体" w:cs="宋体"/>
          <w:color w:val="000000"/>
          <w:sz w:val="24"/>
          <w:szCs w:val="24"/>
        </w:rPr>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承诺其提供的产品均为合格产品，并符合国家或企业质量标准，不存在以次充好、以假充真等情形，如因此给第三人造成财产、人身损害的，乙方应承担全部赔偿责任。同时，乙方应向甲方支付本合同总价款20%的违约金，并赔偿因此给甲方造成的损失。</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履行期间，乙方存在违背投标文件约定或承诺函所承诺的内容，必须立即整改。如拒不整改的或3日内整改不到位的，甲方有权终止合同，并要求乙方支付本合同总价款【20】%的违约金，违约金不足以补偿损失的甲方有权要求乙方补足。</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除本合同另有约定以外，若乙方违反本合同约定，且经甲方催告后3日内仍未改正的或该违约情形无法改正的，甲方有权要求乙方立即向甲方支付合同总价款10%的违约金，违约金不足以补偿损失的甲方有权要求乙方补足；同时，甲方有权要求解除合同。</w:t>
      </w:r>
      <w:r/>
    </w:p>
    <w:p>
      <w:pPr>
        <w:pStyle w:val="723"/>
        <w:ind w:firstLine="48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6、乙方违反本合同第六条约定之情形的，除按相应条款承担违约责任外，甲方还有权依据本合同第七条追究其违约责任。</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7、乙方应执行国家有关规定（如苏州最低工资标准和其他规定），负责乙方员工的生病、事故、伤残、死亡和劳务纠纷，甲方不承担任何相关责任。</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8、乙方负有对自己员工的安全责任，甲方不承担任何相关责任。</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9、乙方应赔偿甲方的损失、支付给甲方的违约金以及其他根据本合同约定应支付给甲方的费用，甲方有权直接从未支付的款项中予以扣除，不足部分甲方有权要求乙方补足。</w:t>
      </w:r>
      <w:r/>
    </w:p>
    <w:p>
      <w:pPr>
        <w:pStyle w:val="723"/>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八、不可抗力</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一方因不可抗力不能履行合同的，根据不可抗力的影响，部分或者全部免除责任。但合同一方迟延履行后发生不可抗力的，不能免除责任。因乙方或甲方先延误或不能履行合同而后对方遇不可抗力的情形除外。 </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2.本条所述的“不可抗力”系指那些双方无法控制，不可预见的事件，但不包括双方的违约或疏忽。这些事件包括但不限于：战争、严重火灾、洪水、台风、地震以及其它双方商定的事件。 </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不可抗力事件发生后，当事方应在3日内以书面形式将不可抗力的情况和原因通知对方，并在发出上述通知后7日内提供书面证明。双方应尽实际可能继续履行合同义务，并积极寻求采取合理的方案履行不受不可抗力影响的其他事项。双方应通过友好协商在合理的时间内达成进一步履行合同的协议。 </w:t>
      </w:r>
      <w:r/>
    </w:p>
    <w:p>
      <w:pPr>
        <w:pStyle w:val="723"/>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九、争议解决 </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1.甲方和乙方应通过友好协商，解决在执行本合同过程中所发生的或与本合同有关的一切争端。如从协商开始十天内仍不能解决，任何一方均有权向人民法院提起诉讼。诉讼由甲方所在地人民法院管辖。 </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2.乙方违反本合同规定或乙方追究甲方违约但不成立而产生纠纷的，甲方为处理此纠纷产生的费用由乙方承担，该费用包括但不限于保全费、诉讼费、执行费、鉴定费、律师费、差旅费等。</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3.因合同部分履行引发诉讼的，在诉讼期间，除正在进行诉讼的部分外，本合同的其它部分应继续执行。</w:t>
      </w:r>
      <w:r/>
    </w:p>
    <w:p>
      <w:pPr>
        <w:pStyle w:val="723"/>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bCs/>
          <w:sz w:val="24"/>
          <w:szCs w:val="24"/>
        </w:rPr>
        <w:t xml:space="preserve">合同的解除和转让</w:t>
      </w:r>
      <w:r>
        <w:rPr>
          <w:rFonts w:hint="eastAsia" w:ascii="宋体" w:hAnsi="宋体" w:eastAsia="宋体" w:cs="宋体"/>
          <w:b/>
          <w:sz w:val="24"/>
          <w:szCs w:val="24"/>
        </w:rPr>
      </w:r>
      <w:r/>
    </w:p>
    <w:p>
      <w:pPr>
        <w:pStyle w:val="72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1.除《政府采购法》第49条、第50条第二款规定的情形及本合同约定的情形外，本合同签订后，甲乙双方不得擅自变更、解除或终止本合同。</w:t>
      </w:r>
      <w:r/>
    </w:p>
    <w:p>
      <w:pPr>
        <w:pStyle w:val="72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2.有下列情形之一，合同一方可以解除合同：</w:t>
      </w:r>
      <w:r/>
    </w:p>
    <w:p>
      <w:pPr>
        <w:pStyle w:val="72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①因不可抗力致使不能实现合同目的，未受不可抗力影响的一方有权解除合同；</w:t>
      </w:r>
      <w:r/>
    </w:p>
    <w:p>
      <w:pPr>
        <w:pStyle w:val="72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②因合同一方违约导致合同不能履行，另一方有权解除合同。</w:t>
      </w:r>
      <w:r/>
    </w:p>
    <w:p>
      <w:pPr>
        <w:pStyle w:val="72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w:t>
      </w:r>
      <w:r>
        <w:rPr>
          <w:rFonts w:hint="eastAsia" w:ascii="宋体" w:hAnsi="宋体" w:eastAsia="宋体" w:cs="宋体"/>
          <w:color w:val="000000"/>
          <w:sz w:val="24"/>
          <w:szCs w:val="24"/>
        </w:rPr>
        <w:t xml:space="preserve">乙方存在违反本合同第六条之情形的，甲方有权解除合同。</w:t>
      </w:r>
      <w:r>
        <w:rPr>
          <w:rFonts w:hint="eastAsia" w:ascii="宋体" w:hAnsi="宋体" w:eastAsia="宋体" w:cs="宋体"/>
          <w:bCs/>
          <w:sz w:val="24"/>
          <w:szCs w:val="24"/>
        </w:rPr>
      </w:r>
      <w:r/>
    </w:p>
    <w:p>
      <w:pPr>
        <w:pStyle w:val="72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3.有权解除合同的一方，应当在违约事实或不可抗力发生之后三十天内书面通知对方，合同在书面通知到达对方时解除。</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如乙方出现违约行为，且甲方依据约定解除本合同的部分或全部内容的，甲方有权依其认为适当的条件和方法向第三方采购本合同服务，乙方应承担甲方因此产生的额外费用。同时，乙方应继续履行合同中未终止的部分。 </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如乙方出现破产或其他丧失履行合同的能力，甲方有权在任何时候以书面形式通知乙方终止合同并追究乙方违约责任，要求乙方返还合同款。该终止合同将不损害或影响甲方已经采取或将要采取任何补救措施的权利。 </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6.发生以下情形之一的，甲方可立即终止乙方的配送工作，并有权终止合同或取消其供应资格，由此造成的全部经济损失和法律责任均由乙方承担：</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（1）原材料问题引起的就餐人员食物中毒等食源性疾病的发生，；</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（2）被政府监管部门查到故意向食堂销售假冒伪劣商品；</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（3）连续2个月考核在85分（含）以下的。</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pStyle w:val="723"/>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十一、合同生效</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1.双方签约人为各自法定代表人或被授权代表。</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2.本合同系指本文件及其附件中的所有部分，招标文件、乙方的投标文件、中标通知书、乙方在采购过程中的澄清和承诺等为本合同不可缺少的组成部分。</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3.本合同经甲乙双方法定代表人或授权代表人签字或盖章后即生效，生效后须进行网上备案。</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4.本合同一式【】份，甲方执【 】份，乙方执【 】份，代理公司执【 】份，各份具有同等法律效力。</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5.本合同应按照中华人民共和国的现行法律进行解释。</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6.合同修改：除甲乙双方签署书面修改、补充协议，并成为本合同不可分割的一部分之外，本合同条件不得有任何变化或修改。</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7.本合同首部载明的地址为甲乙双方认可的相关文件、法律文书送达地址，任何一方如更换地址的，应于更换后3日内书面通知另一方，未通知的一方自行承担法院送达不能等不利后果。</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（以下无正文）</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甲方（公章）：                        乙方（公章）：</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   法定代表人或授权代表（签字或盖章）： </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签约日期：                           签约日期： </w:t>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附件1：</w:t>
      </w:r>
      <w:r/>
    </w:p>
    <w:p>
      <w:pPr>
        <w:pStyle w:val="723"/>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1、采购清单：</w:t>
      </w:r>
      <w:r/>
    </w:p>
    <w:p>
      <w:pPr>
        <w:pStyle w:val="723"/>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详见“第四章 招标书”。</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2、配送质量要求：</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2.1肉、禽、蛋、水产等必须具有检验检疫合格证明或化验单。 </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2.2面粉、食用油、豆制品、辅料、半成品必须具有“SC”食品质量安全认证。</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2.3蔬菜必须保证新鲜，按供货批次提供农贸市场蔬菜农药检测结果，且符合食品卫生安全法要求。</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2.4采购货源必须持有与销售内容相对应的有效营业执照，《食品经营许可证》。</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2.5供应商负责供货产品的食品安全，须做到来源可溯。 </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2.6本项目所供食材保质期不得低于标明的保质期限的1/2。</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3、对配送产品品质的基本要求：</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3.1质量标准：★</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3.1.1蔬菜质量标准：</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3.1.1.1无公害蔬菜质量要求：无公害蔬菜必须保证新鲜、无黄叶枯叶、叶面干净无明显泥土，各类品种齐全。</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3.1.1.2去皮蔬菜要求：将日常去皮的蔬菜（丝瓜，土豆，冬瓜，茄子，黄瓜）去皮，保持表面干净，不腐烂变质。</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3.1.2水果质量标准：当季新鲜水果，无腐烂现象；农业残留符合NY/T 435-2021标准。</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3.1.3禽蛋质量要求：禽蛋必须保证新鲜，无破损，禽蛋等新鲜蛋类必须符合</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"http://down.foodmate.net/standard/sort/3/48415.html" \o "http://down.foodmate.net/standard/sort/3/48415.html"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GB2749-2015《食品安全国家标准 蛋与蛋制品》标准。</w:t>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3.1.4肉（含猪、牛）质量标准：使用冷鲜肉品牌产品，质</w:t>
      </w:r>
      <w:r>
        <w:rPr>
          <w:rFonts w:hint="eastAsia" w:ascii="宋体" w:hAnsi="宋体" w:eastAsia="宋体" w:cs="宋体"/>
          <w:sz w:val="24"/>
          <w:szCs w:val="24"/>
        </w:rPr>
        <w:t xml:space="preserve">量必须符合GB/T 9959.1-2019标准、GB/T 17238-2022《鲜、冻分割牛肉》等国家标准，主要产品包括大排、肉丝、肉片、方肉、小排、肉糜等。其中排肉是指无骨腿肉和无骨夹心肉，其中腿肉要求剔除大股骨，夹心肉要求割除下懒肉，整方供应，并提供《动物或动物产品分销信息凭证》或《动物检疫合格证》和《肉品品质检验合格证》及其它相关证明材料。提供的生猪应由规模养殖场提供经农业部门检测、检疫合格的鲜活健康猪源，经定点屠宰厂屠宰加工并检验合格；供货工具必须符合卫生要求，不得与其它货物混装，防止肉品二次污染。</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3.1.5水产品质量要求：</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3.1.5.1鲜活水产类：鲜活、鳞片齐全、无血迹、无异味，必须符合GB 2733-2015《食品安全国家标准 鲜、冻动物性水产品》等。产品的感观、安全、卫生、稳定性等指标符合相关规定。</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3.1.5.2冻鱼类：必须符合GB 2733-2015《食品安全国家标准 鲜、冻动物性水产品》、GB/T 18109-2011《冻鱼》。产品的感观、安全、卫生、稳定性等指标符合相关规定。</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3.1.5.3其他：其他水产品符合GB 19643-2016《食品安全国家标准 藻类及其制品》等相关国家标准。</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3.1.6调味品（食盐除外）质量要求：酱油符合GB 18186-2000《酿造酱油》标准，味精符合《食品安全国家标准 味精》标准，生粉（淀粉制品）符合GB2713-2015标准、GB 31637-2016《食品安全国家标准 食用淀粉》标准，食糖符合GB13104-2014标准，酿造食醋符合GB18187-2000标准。</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3.1.7南北干货质量要求：应符合相关的国家或行业食品安全标准。需要分包装的产品需使用符合卫生标准的包装袋，并规定要求加贴产品信息标签。</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3.1.8速冻面米制品质量要求：必须保证为有效保质期内产品，必须符合GB 19295-2021《食品安全国家标准 速冻面米制品》标准。</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3.1.9食用油配送标准：非转基因食用油，必须符合GB 2716-2018食用植物油卫生标准，并具有“SC”食品质量安全认证或“SC食品生产许可证”。</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3.1.10大米质量要求：一年内新大米，符合GB/T 1354-2018标准，并拥有“SC”食品质量安全。</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3.1.11冷冻品质量要求：冷冻品必须保证为3个月内产品，配送公司须提供产品合格证明文件，动物产品提供《动物或动物产品分销信息凭证》或《动物检疫合格证》。</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3.1.12禽类：必须符合GB 2707-2016食品安全标准《鲜（冻）畜、禽产品》、GB 16869-2005《鲜、冻禽产品》标准，提供《动物或动物产品分销信息凭证》或《动物检疫合格证》。</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3.1.13豆制品质量要求：原料须为非转基因产品，发酵性豆制品必须符合GB2712-2014《食品安全国家标准 豆制品》标准，非发酵豆制品必须符合GB/T 22106-2008标准、GB2711-2014《食品安全国家标准 面筋制品》标准，对豆制品的有关安全健康指标符合国家规定。</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3.1.14其它类质量要求：符合相应的国家或行业食品安全标准，添加剂的使用必须符合GB2760-2014标准，对食品的添加量严格控制在标准规定范围之内。</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注：以上质量标准如有新的国家或行业标准出台，则以最新标准执行。</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3.2配送★</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3.2.1食用油、调味品、南北干货、大米按照采购人通知送货；其它食材采购人每周五确定下一周配送单，每天送货一次，具体根据采购人需求。所有商品均须送至采购人指定地点。如有临时追加的需求以采购人要求为准。</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3.2.2食材必须符合《中华人民共和国食品安全法》标准；每日的配送清单须是打印稿，并仔细核对采购清单，确保采购人食堂所需的食品原材料品种、品牌、规格、数量、质量等准确无误，并在规定时间内及时送达；提供商品的品牌、规格必须与合同规定一致，严禁擅自更换商品品牌、规格，如发现食材卫生质量问题或者以次充好，应无条件退货或换货，并根据合同规定进行处理。</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3.2.3严</w:t>
      </w:r>
      <w:r>
        <w:rPr>
          <w:rFonts w:hint="eastAsia" w:ascii="宋体" w:hAnsi="宋体" w:eastAsia="宋体" w:cs="宋体"/>
          <w:sz w:val="24"/>
          <w:szCs w:val="24"/>
        </w:rPr>
        <w:t xml:space="preserve">禁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3.2.4配送的食材需根据采购人的要求提供具有国家法定检测资质的第三方检测机构出具的检测报告、食材检验合格证等合格证明材料。</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3.2.5配送公司必须用带冷藏或冷冻功能的厢式货车用于本项目配送服务。</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3.2.6所投入的所有冷藏或冷冻功能的厢式货车车辆在签订合同前必须装有定位系统，车厢内安装视频监控设备。</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3.3重量计算说明★</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3.3.1蔬菜：送至单位食堂后，经采购人经过初步加工整理，除去泥、沙、黄叶、烂叶及老叶等后的合格率（净重）不得低于配送数量的98%。</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3.3.2鱼类：送至单位食堂后，经采购人称重鲜活、鳞片齐全的鱼类，经过去除多余水分后，重量不得低于配送数量的98%。</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3.3.3禽类：送至单位食堂后，经采购人称重去内脏、表皮无毛，无血迹、无污物、无注水的禽类，重量不得低于配送数量的98%。</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4、团队人员要求：</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4.1食堂配送项目专项服务小组不少于【3】人，确定固定的项目负责人，负责相关工作及提供各种服务。</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4.2本项目所配备的人员须凭健康证上岗（需要在投标文件中提供承诺函，格式自拟）。</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5、包装要求：</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5.1包装材料应符合食品安装标准，无毒无害，避免污染食品。</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5.2包装要有良好的密封性。</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5.3包装上应表明食品的名称、产地、保质期、生产日期、成分表、储存条件等基本信息。</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5.4根据食材特性选择合适的包装。如易碎的食品要有防撞包装；易腐食品可能需要冷链包装，并且使用保温、保险材料。</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5.5包装的大小应考虑食堂使用量和操作便利性。</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6、运输要求：</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6.1温度控制：对于易腐食品，要使用冷藏车或配备足够的冷链设备来运输保持合适的低温环境；热食运输则要使用具有保温功能的设备。</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6.2卫生条件：运输车辆和容器必须保持清洁卫生，定期消毒；运输工具不能与有毒有害物品混装。</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6.3食材固定和堆放：要合理堆放食材，避免在运输过程中因碰撞、挤压导致食材损坏；对于液体食材，容器要密封良好并固定，防止泄露。</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6.4运输时间：尽量缩短运输时间，尤其是对于易腐食品，确保食材的新鲜度。</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7、其他要求：</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7.1.验收要求★</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7.1.1原材料验收由采购人、中标单位、食堂使用方，三方现场检验，对供应产品的质量无异议数量准确无误后，三方签字，各自留存。</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7.1.2本次食堂采购验收流程分为日常验收、阶段（月度）验收、最终验收三档。</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7.1.2.1日常验收内容为对每日配送的食材进行检验检查，对存在问题的食材或配送流程进行处理并形成纸质台账记录在案；</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7.1.2.2阶段（月度）验收内容为对日常验收的相关台账资料进行检查，对配送服务进行月度打分，打分结果关系到月度付款金额比例；</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7.1.2.3最终验收内容为对整个项目周期的所有验收资料台账及付款结果进行核验，最终验收通过后【60】天内，退还本项目收取的履约保证金。</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7.1.3验收标准参考“配送质量要求及对配送产品品质的基本要求”中的标准。</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7.2食品留样要求：</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7.2.1留样食材的种类和数量。每天配送的食材必须留样，每个品种的留样量不少于100克。</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7.2.2留样程序。留样食材应按品种分别盛放于清洗消毒后的密闭专用容器内。在食材接收后第一时间进行留样操作。留样食材应立即存放在专用冷藏箱中，在0°C至5°C的条件下冷藏保存至少48小时以上。</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7.2.3留样人员的责任。留样的采集和保管必须有专人负责，无关人员不得擅自操作或挪动留样食材。</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7.2.4记录和保存。每次留样都必须详细记录，包括食材样源、食材名称、留样时间、留样人的信息等，以备检查。留样记录本的保存期限不少于十二个月。      </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7.2.5留样设施。食材留样柜必须保持全天24小时正常启用，且柜内不得存放其他生、熟食品以防交叉污染。食材留样冰箱为专用设备，严禁存放与留样食材无关的物品。</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7.3应急配送要求：收到应急配送的通知后【】小时内响应，【】小时内完成或提出解决方案。</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7.4采购方提前向供应商发送每日采购清单，采取邮件发送或微信联系等方式告知清单，供应商必须仔细核对采购清单，确保所需的食品原材料品种、规格、品牌、数量、质量等准确无误，并按投标文件内响应的时间及时送达。供应商向采购方提供商品的品牌、规格必须与合同规定一致，严禁擅自更换商品品牌、规格。</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7.5配送车辆符合国家食品运输相关规定。</w:t>
      </w:r>
      <w:r/>
    </w:p>
    <w:p>
      <w:pPr>
        <w:pStyle w:val="723"/>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23"/>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附件2：考核办法</w:t>
      </w:r>
      <w:r/>
    </w:p>
    <w:p>
      <w:pPr>
        <w:pStyle w:val="723"/>
        <w:ind w:firstLine="476"/>
        <w:jc w:val="left"/>
        <w:spacing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根据《食材配送情况考核表》（附件）考评打分结果计算出月度考核评分。当月度得分 【95】分（含）以上的，当月的费用按实际配送食材金额全额向乙方支付；当月度得分 【95】分（不含）—【85】分（含），支付当月费用时在合同金额中从【95】分起计，按每扣【1】 分扣除当月费用3000元后支付；当月度得分检查结果为 【85】分（不含）以下，则扣除当月费用的 50%。若月度考核评定低于【95】分，则乙方须就服务工作方面的问题向采购人甲方提供整改报告。</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588"/>
        <w:gridCol w:w="6174"/>
        <w:gridCol w:w="703"/>
        <w:gridCol w:w="967"/>
      </w:tblGrid>
      <w:tr>
        <w:trPr>
          <w:trHeight w:val="6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23"/>
              <w:jc w:val="center"/>
              <w:spacing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食材配送情况考核表</w:t>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考核指标</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考核要素、评估内容及其标准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具体扣分情况</w:t>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一、送货时间</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能够按照合同约定时间准时送达的，得10分；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出现意外状况导致未能准时送达，但能主动与甲方及时沟通，未造成影响的,得8分；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出现意外状况导致未能准时送达，对食堂工作造成一定影响的,得4分；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出现意外状况导致未能准时送达，对食堂工作造成严重影响的,得1分；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出现问题后未与甲方沟通或沟通不及时,未作出补救措施的不得分。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二、服务态度</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工作人员工作认真，服务热情周到，运送搬装文明得10分；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工作态度不认真，因搬装等原因造成食物污染、破损，发现一次扣5分，扣完为止。</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三、品种情况</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送货无差错，与送货清单保持一致的，得10分；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送货种类与清单不一致，但能够及时与甲方沟通并调换正确货物的，每有一次扣2分，扣完为止；</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送货种类与清单不一致，未与甲方沟通或沟通不及时，对食堂工作造成严重影响的，每有一次扣5分，扣完为止。</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四、数量情况</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做到无短斤缺两现象（负偏差在2%以内），严格按照采购清单上约定的数量送货的，得10分；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送货数量与清单不一致，负偏差超过2%的，但能够及时与甲方沟通并补足数量的，每有一次扣2分；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送货数量与清单不一致，偏差超过2%的，未与甲方沟通或沟通不及时，对食堂工作造成严重影响，每有一次扣5分。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五、价格情况</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价格严格按照合同约定的定价方式制定的，得10分；</w:t>
            </w:r>
            <w:r/>
          </w:p>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价格未按照合同约定的定价方式制定的，发现一次扣5分。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六、食材质量</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numPr>
                <w:ilvl w:val="0"/>
                <w:numId w:val="6"/>
              </w:numPr>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所提供的食材质量经过甲方检查后能够正常使用的，得10分；所提供的食材质量经过甲方检查发现有超过1%（按重量）不能够正常使用的，每次扣2分；</w:t>
            </w:r>
            <w:r/>
          </w:p>
          <w:p>
            <w:pPr>
              <w:pStyle w:val="723"/>
              <w:numPr>
                <w:ilvl w:val="0"/>
                <w:numId w:val="6"/>
              </w:numPr>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所提供的食材未经挑选并有腐烂等影响食堂正常使用的，本项不得分。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七、送货车辆</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严格按与甲方约定的车辆类型进行送货的得10分；未与甲方沟通擅自变更送货车辆类型的，发现1次扣5分。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八、联系制度</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发生需要更换食材品种、食材价格波动较大、出现意外情况等，能够及时与甲方联系沟通，没有对食堂工作造成不良影响的，得10分；因为没有与甲方及时沟通，对食堂工作造成不良影响，发现一次扣5分。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九、跟踪随访</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乙方能主动到甲方食堂随访，听取甲方对于食堂供货的意见建议的，能做到每周至少随访1次，一个月不少于4次的，得10分；少随访一次扣2.5分。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十、检测资料</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能够按照合同及招标文件约定向甲方提供有关商品的检测资料的，得10分；每发现遗漏1次，扣2分。一个月出现3次及以上，本项不得分。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tab/>
              <w:t xml:space="preserve">总分：</w:t>
            </w:r>
            <w:r/>
          </w:p>
        </w:tc>
        <w:tc>
          <w:tcPr>
            <w:gridSpan w:val="2"/>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pStyle w:val="723"/>
              <w:jc w:val="left"/>
              <w:rPr>
                <w:rFonts w:hint="eastAsia" w:ascii="宋体" w:hAnsi="宋体" w:eastAsia="宋体" w:cs="宋体"/>
                <w:spacing w:val="-1"/>
                <w:sz w:val="24"/>
                <w:szCs w:val="24"/>
              </w:rPr>
            </w:pPr>
            <w:r>
              <w:rPr>
                <w:rFonts w:hint="eastAsia" w:ascii="宋体" w:hAnsi="宋体" w:eastAsia="宋体" w:cs="宋体"/>
                <w:spacing w:val="-1"/>
                <w:sz w:val="24"/>
                <w:szCs w:val="24"/>
              </w:rPr>
            </w:r>
            <w:r/>
          </w:p>
        </w:tc>
      </w:tr>
    </w:tbl>
    <w:p>
      <w:pPr>
        <w:pStyle w:val="723"/>
        <w:jc w:val="left"/>
        <w:widowControl/>
        <w:rPr>
          <w:rFonts w:ascii="宋体" w:hAnsi="宋体" w:eastAsia="宋体" w:cs="宋体"/>
          <w:sz w:val="24"/>
          <w:szCs w:val="24"/>
        </w:rPr>
      </w:pPr>
      <w:r>
        <w:rPr>
          <w:rFonts w:ascii="宋体" w:hAnsi="宋体" w:eastAsia="宋体"/>
          <w:color w:val="000000"/>
          <w:sz w:val="24"/>
          <w:szCs w:val="24"/>
        </w:rPr>
        <w:br w:type="page" w:clear="all"/>
      </w:r>
      <w:r>
        <w:rPr>
          <w:rFonts w:ascii="宋体" w:hAnsi="宋体" w:eastAsia="宋体" w:cs="宋体"/>
          <w:sz w:val="24"/>
          <w:szCs w:val="24"/>
        </w:rPr>
      </w:r>
      <w:r/>
    </w:p>
    <w:p>
      <w:pPr>
        <w:pStyle w:val="724"/>
        <w:jc w:val="center"/>
        <w:spacing w:line="360" w:lineRule="auto"/>
        <w:rPr>
          <w:rFonts w:ascii="宋体" w:hAnsi="宋体" w:eastAsia="宋体"/>
          <w:color w:val="000000"/>
          <w:sz w:val="52"/>
        </w:rPr>
      </w:pPr>
      <w:r/>
      <w:bookmarkStart w:id="17" w:name="_Toc50373300"/>
      <w:r>
        <w:rPr>
          <w:rFonts w:ascii="宋体" w:hAnsi="宋体" w:eastAsia="宋体"/>
          <w:color w:val="000000"/>
          <w:sz w:val="52"/>
        </w:rPr>
      </w:r>
      <w:r/>
    </w:p>
    <w:p>
      <w:pPr>
        <w:pStyle w:val="724"/>
        <w:jc w:val="center"/>
        <w:spacing w:line="360" w:lineRule="auto"/>
        <w:rPr>
          <w:rFonts w:ascii="宋体" w:hAnsi="宋体" w:eastAsia="宋体"/>
          <w:color w:val="000000"/>
          <w:sz w:val="52"/>
        </w:rPr>
      </w:pPr>
      <w:r>
        <w:rPr>
          <w:rFonts w:ascii="宋体" w:hAnsi="宋体" w:eastAsia="宋体"/>
          <w:color w:val="000000"/>
          <w:sz w:val="52"/>
        </w:rPr>
      </w:r>
      <w:r/>
    </w:p>
    <w:p>
      <w:pPr>
        <w:pStyle w:val="724"/>
        <w:jc w:val="center"/>
        <w:spacing w:line="360" w:lineRule="auto"/>
        <w:rPr>
          <w:rFonts w:ascii="宋体" w:hAnsi="宋体" w:eastAsia="宋体"/>
          <w:color w:val="000000"/>
          <w:sz w:val="52"/>
        </w:rPr>
      </w:pPr>
      <w:r>
        <w:rPr>
          <w:rFonts w:ascii="宋体" w:hAnsi="宋体" w:eastAsia="宋体"/>
          <w:color w:val="000000"/>
          <w:sz w:val="52"/>
        </w:rPr>
      </w:r>
      <w:r/>
    </w:p>
    <w:p>
      <w:pPr>
        <w:pStyle w:val="724"/>
        <w:jc w:val="center"/>
        <w:spacing w:line="360" w:lineRule="auto"/>
        <w:rPr>
          <w:rFonts w:ascii="宋体" w:hAnsi="宋体" w:eastAsia="宋体"/>
          <w:color w:val="000000"/>
          <w:sz w:val="52"/>
        </w:rPr>
      </w:pPr>
      <w:r>
        <w:rPr>
          <w:rFonts w:hint="eastAsia" w:ascii="宋体" w:hAnsi="宋体" w:eastAsia="宋体"/>
          <w:color w:val="000000"/>
          <w:sz w:val="52"/>
        </w:rPr>
        <w:t xml:space="preserve">第六章 评分</w:t>
      </w:r>
      <w:bookmarkEnd w:id="14"/>
      <w:r/>
      <w:bookmarkEnd w:id="15"/>
      <w:r>
        <w:rPr>
          <w:rFonts w:hint="eastAsia" w:ascii="宋体" w:hAnsi="宋体" w:eastAsia="宋体"/>
          <w:color w:val="000000"/>
          <w:sz w:val="52"/>
        </w:rPr>
        <w:t xml:space="preserve">标准</w:t>
      </w:r>
      <w:bookmarkEnd w:id="17"/>
      <w:r>
        <w:rPr>
          <w:rFonts w:ascii="宋体" w:hAnsi="宋体" w:eastAsia="宋体"/>
          <w:color w:val="000000"/>
          <w:sz w:val="52"/>
        </w:rPr>
      </w:r>
      <w:r/>
    </w:p>
    <w:p>
      <w:pPr>
        <w:pStyle w:val="723"/>
        <w:spacing w:line="360" w:lineRule="auto"/>
        <w:rPr>
          <w:rFonts w:ascii="宋体" w:hAnsi="宋体" w:eastAsia="宋体"/>
          <w:color w:val="000000"/>
        </w:rPr>
      </w:pPr>
      <w:r/>
      <w:bookmarkStart w:id="18" w:name="OLE_LINK2"/>
      <w:r>
        <w:rPr>
          <w:rFonts w:ascii="宋体" w:hAnsi="宋体" w:eastAsia="宋体"/>
          <w:color w:val="000000"/>
        </w:rPr>
        <w:br w:type="page" w:clear="all"/>
      </w:r>
      <w:bookmarkEnd w:id="18"/>
      <w:r>
        <w:rPr>
          <w:rFonts w:ascii="宋体" w:hAnsi="宋体" w:eastAsia="宋体"/>
          <w:color w:val="000000"/>
        </w:rPr>
      </w:r>
      <w:r/>
    </w:p>
    <w:p>
      <w:pPr>
        <w:pStyle w:val="723"/>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一、评标方法：</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1、本次招标评标采用为综合评分法，即指投标文件满足招标文件全部实质性要求，且按照评审因素的量化指标评审得分最高的投标单位为中标候选人的评标方法。</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2、评标委员会各成员审查每份投标文件是否实质响应了招标文件的要求，非实质性响应的投标文件将被拒绝，也不进行评审。</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3、评标委员会各成员独立对每个进入打分程序的有效投标单位的标书技术部分以打分的形式进行评审和评价。对评委的评分进行统计汇总时算术平均计算得分（计算结果均四舍五入保留两位小数）。</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4、如出现评标总得分最高的投标单位有两个或两个以上的，以投标报价较低者优先作为中标候选人或者中标人的评标方法；如果投标报价也相同的，则由评标委员会组织抽签确定中标候选人顺序。</w:t>
      </w:r>
      <w:r/>
    </w:p>
    <w:p>
      <w:pPr>
        <w:pStyle w:val="723"/>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本次采购分为两个标段，投标单位可对某一标段进行投标，也可对全部两个标段进行投标。每个投标单位的得标上限数为1个标段，开标时将按标段号正序的顺序进行开标。提交第二标段投标文件且实质性响应采购需求，但已在前期标段评审中获得中标资格的供应商，不再参与后续评审不再具有第二标段的得标权。</w:t>
      </w:r>
      <w:r>
        <w:rPr>
          <w:rFonts w:hint="eastAsia" w:ascii="宋体" w:hAnsi="宋体" w:eastAsia="宋体" w:cs="宋体"/>
          <w:color w:val="000000"/>
          <w:sz w:val="24"/>
          <w:szCs w:val="24"/>
        </w:rPr>
      </w:r>
      <w:r/>
    </w:p>
    <w:p>
      <w:pPr>
        <w:pStyle w:val="723"/>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二、评分标准：</w:t>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（一）报价得分（30分）</w:t>
      </w:r>
      <w:r>
        <w:rPr>
          <w:rFonts w:hint="eastAsia" w:ascii="宋体" w:hAnsi="宋体" w:eastAsia="宋体" w:cs="宋体"/>
          <w:sz w:val="24"/>
          <w:szCs w:val="24"/>
        </w:rPr>
      </w:r>
      <w:r/>
    </w:p>
    <w:p>
      <w:pPr>
        <w:pStyle w:val="1019"/>
        <w:ind w:firstLine="480"/>
        <w:spacing w:line="360" w:lineRule="auto"/>
        <w:rPr>
          <w:rFonts w:hint="eastAsia" w:hAnsi="宋体" w:eastAsia="宋体" w:cs="宋体"/>
          <w:sz w:val="24"/>
          <w:szCs w:val="24"/>
        </w:rPr>
      </w:pPr>
      <w:r>
        <w:rPr>
          <w:rFonts w:hint="eastAsia" w:hAnsi="宋体" w:eastAsia="宋体" w:cs="宋体"/>
          <w:color w:val="000000"/>
          <w:sz w:val="24"/>
          <w:szCs w:val="24"/>
        </w:rPr>
        <w:t xml:space="preserve">1、本次报价报的是优惠率，不报总价，本项目最高限价为优惠率99.99%，所报优惠率不能高于99.99%；</w:t>
      </w:r>
      <w:r>
        <w:rPr>
          <w:rFonts w:hint="eastAsia" w:hAnsi="宋体" w:eastAsia="宋体" w:cs="宋体"/>
          <w:sz w:val="24"/>
          <w:szCs w:val="24"/>
        </w:rPr>
      </w:r>
      <w:r/>
    </w:p>
    <w:p>
      <w:pPr>
        <w:pStyle w:val="1019"/>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2、价格得分计算方法：根据各投标单位通过符合性审查的有效投标优惠中的最高优惠率作为评标基准优惠率，其价格分为满分。例如各投标单位的投标优惠分别为20%、25%、30%，以上数字中，30%为评标基准优惠率，报价分为满分。（20%计算公式：（1-30%）/（1-20%）×价格权重）</w:t>
      </w:r>
      <w:r/>
    </w:p>
    <w:p>
      <w:pPr>
        <w:pStyle w:val="1019"/>
        <w:ind w:firstLine="480"/>
        <w:spacing w:line="360" w:lineRule="auto"/>
        <w:rPr>
          <w:rFonts w:hint="eastAsia" w:hAnsi="宋体" w:eastAsia="宋体" w:cs="宋体"/>
          <w:sz w:val="24"/>
          <w:szCs w:val="24"/>
        </w:rPr>
      </w:pPr>
      <w:r>
        <w:rPr>
          <w:rFonts w:hint="eastAsia" w:hAnsi="宋体" w:eastAsia="宋体" w:cs="宋体"/>
          <w:color w:val="000000"/>
          <w:sz w:val="24"/>
          <w:szCs w:val="24"/>
        </w:rPr>
        <w:t xml:space="preserve">价格得分=（1-最高优惠率评审价）/（1-优惠率评审价）×价格权重；（计算到小数点后二位，四舍五入）。</w:t>
      </w:r>
      <w:r>
        <w:rPr>
          <w:rFonts w:hint="eastAsia" w:hAnsi="宋体" w:eastAsia="宋体" w:cs="宋体"/>
          <w:sz w:val="24"/>
          <w:szCs w:val="24"/>
        </w:rPr>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（二）服务方案（37分）</w:t>
      </w:r>
      <w:r>
        <w:rPr>
          <w:rFonts w:hint="eastAsia" w:ascii="宋体" w:hAnsi="宋体" w:eastAsia="宋体" w:cs="宋体"/>
          <w:sz w:val="24"/>
          <w:szCs w:val="24"/>
        </w:rPr>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1、针对本项目的采购管理方案（7分）</w:t>
      </w:r>
      <w:r>
        <w:rPr>
          <w:rFonts w:hint="eastAsia" w:ascii="宋体" w:hAnsi="宋体" w:eastAsia="宋体" w:cs="宋体"/>
          <w:sz w:val="24"/>
          <w:szCs w:val="24"/>
        </w:rPr>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但不限于食材进货渠道来源、进货采购流程、时间计划、食材仓储管理措施，食材定期抽检措施、购销台账登记等内容。方案科学合理，内容完整，可行性符合项目需求的得7分；方案较为科学合理，内容基本完整，具有一定可行性，能够满足部分项目需求的得4分；方案内容不完整，有明显缺陷，可行性、操作性不足但仍与项目内容相关的得1分；方案内容与项目无关或不提供方案的不得分。</w:t>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2、针对本项目的配送方案（6分）</w:t>
      </w:r>
      <w:r>
        <w:rPr>
          <w:rFonts w:hint="eastAsia" w:ascii="宋体" w:hAnsi="宋体" w:eastAsia="宋体" w:cs="宋体"/>
          <w:sz w:val="24"/>
          <w:szCs w:val="24"/>
        </w:rPr>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但不限于配送的车辆、人员、时间，食材的分拣、包装、捆扎、装车、卸货，食材的交付、验收等内容。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3、针对本项目的应急响应预案（6分）</w:t>
      </w:r>
      <w:r>
        <w:rPr>
          <w:rFonts w:hint="eastAsia" w:ascii="宋体" w:hAnsi="宋体" w:eastAsia="宋体" w:cs="宋体"/>
          <w:sz w:val="24"/>
          <w:szCs w:val="24"/>
        </w:rPr>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但不限于临时紧急供货、一般性食品安全事件及突发重大食品安全事故应对处理、运输车辆故障及道路交通安全事故应对处理、特殊天气及不可抗力应对处理、原材料市场缺失应对处理等内容。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4、针对本项目的团队日常对接配合方案（6分）</w:t>
      </w:r>
      <w:r>
        <w:rPr>
          <w:rFonts w:hint="eastAsia" w:ascii="宋体" w:hAnsi="宋体" w:eastAsia="宋体" w:cs="宋体"/>
          <w:sz w:val="24"/>
          <w:szCs w:val="24"/>
        </w:rPr>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但不限于对接团队的人员数量、沟通方式、团队分工等内容。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5、针对本项目的食材卫生保障方案（6分）</w:t>
      </w:r>
      <w:r>
        <w:rPr>
          <w:rFonts w:hint="eastAsia" w:ascii="宋体" w:hAnsi="宋体" w:eastAsia="宋体" w:cs="宋体"/>
          <w:sz w:val="24"/>
          <w:szCs w:val="24"/>
        </w:rPr>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但不限于仓储分拣包装运输全流程环节的卫生管理、配送人员健康保证、配送车辆的消杀清洁、食材检测等内容。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6、针对本项目的市场询价措施方案（6分）</w:t>
      </w:r>
      <w:r>
        <w:rPr>
          <w:rFonts w:hint="eastAsia" w:ascii="宋体" w:hAnsi="宋体" w:eastAsia="宋体" w:cs="宋体"/>
          <w:sz w:val="24"/>
          <w:szCs w:val="24"/>
        </w:rPr>
      </w:r>
      <w:r/>
    </w:p>
    <w:p>
      <w:pPr>
        <w:pStyle w:val="723"/>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包括但不限于针对供货食材的市场询价定价依据，询价团队的人员安排、对应的违约处罚承诺（承诺函格式自拟）。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（三）企业综合实力部分（33分）</w:t>
      </w:r>
      <w:r>
        <w:rPr>
          <w:rFonts w:hint="eastAsia" w:ascii="宋体" w:hAnsi="宋体" w:eastAsia="宋体" w:cs="宋体"/>
          <w:sz w:val="24"/>
          <w:szCs w:val="24"/>
        </w:rPr>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1、人员资历要求（2分）</w:t>
      </w:r>
      <w:r>
        <w:rPr>
          <w:rFonts w:hint="eastAsia" w:ascii="宋体" w:hAnsi="宋体" w:eastAsia="宋体" w:cs="宋体"/>
          <w:sz w:val="24"/>
          <w:szCs w:val="24"/>
        </w:rPr>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投标单位拟投入本项目的项目经理具有同类项目1年管理工作经验的得1分；2年及以上管理工作经验的得2分。（需提供项目经理工作经验证明材料并加盖投标单位公章，未提供不得分。）</w:t>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2、食品检测（7分）</w:t>
      </w:r>
      <w:r>
        <w:rPr>
          <w:rFonts w:hint="eastAsia" w:ascii="宋体" w:hAnsi="宋体" w:eastAsia="宋体" w:cs="宋体"/>
          <w:sz w:val="24"/>
          <w:szCs w:val="24"/>
        </w:rPr>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2.1投标单位自有或租赁或具有合作协议的检测设备或检测室，具备以下 10 项检测能力的：</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　非食用物质检测；</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　污染物质检测；</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　微生物检测；</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　转基因检测；</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　食品添加剂检测；</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　食品接触材料检测；</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⑦　农药残留检测；</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⑧　水分检测；</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⑨　兽药残留检测；</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⑩　抗生素检测；</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每提供以上一项检测能力证明材料得 0.5 分，相同检测仪器不重复计分，同一个仪器可以检测多项内容的按检测项计分；最高5分。</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 </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（1）自有设备须提供设备照片、设备购置发票扫描件，发票内容须体现食品相关的检测设备名称；须加盖投标单位公章。 </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（2）租赁设备须提供设备照片、有效期内的租赁合同、出租方购置设备的发票扫描件，租赁合同和发票内容须体现食品相关的检测设备名称；须加盖投标单位公章。 </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（3）具有合作协议的设备须提供设备照片、有效期内的合作协议、协议方购置设备的发票扫描件，合作协议和发票内容须体现食品相关的检测设备名称；须加盖投标单位公章。</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（4）未按要求提供的不得分。</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2.2项目团队成员具有食品检测相关工作经验，有1名得1分，本项最高得2分（提供相关证明材料扫描件、健康证扫描件及投标单位为其缴纳近一期社保证明扫描件）</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3、管理体系（4分）</w:t>
      </w:r>
      <w:r>
        <w:rPr>
          <w:rFonts w:hint="eastAsia" w:ascii="宋体" w:hAnsi="宋体" w:eastAsia="宋体" w:cs="宋体"/>
          <w:sz w:val="24"/>
          <w:szCs w:val="24"/>
        </w:rPr>
      </w:r>
      <w:r/>
    </w:p>
    <w:p>
      <w:pPr>
        <w:pStyle w:val="723"/>
        <w:ind w:firstLine="480"/>
        <w:spacing w:line="360" w:lineRule="auto"/>
        <w:rPr>
          <w:rFonts w:hint="eastAsia" w:ascii="宋体" w:hAnsi="宋体" w:eastAsia="宋体" w:cs="宋体"/>
          <w:sz w:val="24"/>
          <w:szCs w:val="24"/>
        </w:rPr>
      </w:pPr>
      <w:r/>
      <w:bookmarkStart w:id="19" w:name="OLE_LINK59"/>
      <w:r/>
      <w:bookmarkStart w:id="20" w:name="OLE_LINK60"/>
      <w:r>
        <w:rPr>
          <w:rFonts w:hint="eastAsia" w:ascii="宋体" w:hAnsi="宋体" w:eastAsia="宋体" w:cs="宋体"/>
          <w:sz w:val="24"/>
          <w:szCs w:val="24"/>
        </w:rPr>
        <w:t xml:space="preserve">投标单位具有有效期内的质量管理体系认证证书、环境管理体系认证证书、职业健康管理体系认证证书</w:t>
      </w:r>
      <w:bookmarkEnd w:id="19"/>
      <w:r/>
      <w:bookmarkEnd w:id="20"/>
      <w:r>
        <w:rPr>
          <w:rFonts w:hint="eastAsia" w:ascii="宋体" w:hAnsi="宋体" w:eastAsia="宋体" w:cs="宋体"/>
          <w:sz w:val="24"/>
          <w:szCs w:val="24"/>
        </w:rPr>
        <w:t xml:space="preserve">、食品安全管理体系认证证书，每提供一个得1分，最高4分。（投标文件中提供证书扫描件及网上查询截图，否则不得分。）</w:t>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4、履约合作能力（3分）</w:t>
      </w:r>
      <w:r>
        <w:rPr>
          <w:rFonts w:hint="eastAsia" w:ascii="宋体" w:hAnsi="宋体" w:eastAsia="宋体" w:cs="宋体"/>
          <w:sz w:val="24"/>
          <w:szCs w:val="24"/>
        </w:rPr>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2022年1月1日以来与大型农贸市场/大型商超具有稳定合作关系的，每1个得1分，最高3分（需提供与大型农贸市场的合作协议或者合同扫描件等有效证明材料及任意一期的发票扫描件，并加盖投标单位公章，未提供不得分。）</w:t>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5、供应商实力（8分）</w:t>
      </w:r>
      <w:r>
        <w:rPr>
          <w:rFonts w:hint="eastAsia" w:ascii="宋体" w:hAnsi="宋体" w:eastAsia="宋体" w:cs="宋体"/>
          <w:sz w:val="24"/>
          <w:szCs w:val="24"/>
        </w:rPr>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（1）具有养殖基地（包括但不限于水产、家禽、家畜等）或种植基地（包括但不限于蔬菜、水果、粮食等）（可以为自有产权或租赁或承包或合作的或承诺中标后【30】日内提供的）每个2分；</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（2）具有常温仓储空间（可以自有产权或租赁或合作或承诺中标后【30】日内提供的）每个2分；</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（3）具有冷藏（保鲜）库或冷冻库（可以自有产权或租赁或合作或承诺中标后【30】日内提供的）每个2分；</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（4）投标单位具有程序软件满足线上下单需求的，得2分（需提供程序页面并加盖公章，不提供不得分）</w:t>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最高8分。以上均需提供：如为自有基地或常温仓储空间或冷藏（保鲜）库或冷冻库相关的产权证明扫描件并加盖投标单位公章；如为租赁、承包或合作关系的提供相关合同扫描件加盖投标单位公章；如承诺中标后【30】日内提供的，需在投标文件中提供承诺函，格式自拟，如在签订合同前无法提供相关证明材料的，采购方有权拒签合同。未提供不得分。</w:t>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6、食材来源渠道（4分）</w:t>
      </w:r>
      <w:r>
        <w:rPr>
          <w:rFonts w:hint="eastAsia" w:ascii="宋体" w:hAnsi="宋体" w:eastAsia="宋体" w:cs="宋体"/>
          <w:sz w:val="24"/>
          <w:szCs w:val="24"/>
        </w:rPr>
      </w:r>
      <w:r/>
    </w:p>
    <w:p>
      <w:pPr>
        <w:pStyle w:val="723"/>
        <w:numPr>
          <w:ilvl w:val="0"/>
          <w:numId w:val="7"/>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投标单位承诺所提供的食材来自可溯源的生产厂商或生产基地的得1分，本项最高得1分。不提供不得分。</w:t>
      </w:r>
      <w:r/>
    </w:p>
    <w:p>
      <w:pPr>
        <w:pStyle w:val="723"/>
        <w:numPr>
          <w:ilvl w:val="0"/>
          <w:numId w:val="7"/>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投标单位承诺所提供的食材由自有基地生产的比例不低于30%得1分，不低于40%得2分，不低于50%得3分，本项最高得3分。不提供不得分。</w:t>
      </w:r>
      <w:r/>
    </w:p>
    <w:p>
      <w:pPr>
        <w:pStyle w:val="723"/>
        <w:spacing w:line="360" w:lineRule="auto"/>
        <w:rPr>
          <w:rFonts w:hint="eastAsia" w:ascii="宋体" w:hAnsi="宋体" w:eastAsia="宋体" w:cs="宋体"/>
          <w:sz w:val="24"/>
          <w:szCs w:val="24"/>
        </w:rPr>
      </w:pPr>
      <w:r>
        <w:rPr>
          <w:rFonts w:hint="eastAsia" w:ascii="宋体" w:hAnsi="宋体" w:eastAsia="宋体" w:cs="宋体"/>
          <w:sz w:val="24"/>
          <w:szCs w:val="24"/>
        </w:rPr>
        <w:t xml:space="preserve">（上述（1）、（2）均需再投标文件中提供承诺函，格式自拟，并加盖投标单位公章）</w:t>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7、食品责任险（2分）</w:t>
      </w:r>
      <w:r>
        <w:rPr>
          <w:rFonts w:hint="eastAsia" w:ascii="宋体" w:hAnsi="宋体" w:eastAsia="宋体" w:cs="宋体"/>
          <w:sz w:val="24"/>
          <w:szCs w:val="24"/>
        </w:rPr>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2022年1月1日以来投标单位已购买食品安全责任险的或承诺中标后提供食品安全责任险保额300万以下的得1分，300万（含）以上的得2分。（投标文件中提供有效期内的保险单据扫描件或承诺函。）</w:t>
      </w:r>
      <w:r/>
    </w:p>
    <w:p>
      <w:pPr>
        <w:pStyle w:val="723"/>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8、类似业绩（3分）</w:t>
      </w:r>
      <w:r>
        <w:rPr>
          <w:rFonts w:hint="eastAsia" w:ascii="宋体" w:hAnsi="宋体" w:eastAsia="宋体" w:cs="宋体"/>
          <w:sz w:val="24"/>
          <w:szCs w:val="24"/>
        </w:rPr>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2022年1月1日至今（以合同签订之日为准）具有类似项目业绩的，每提供一份得1分，最高3分。投标文件中提供合同扫描件（合同内容应能体现与本项目类似的工作内容）及任意一期的发票扫描件，未提供或提供不全的项目不得分。</w:t>
      </w:r>
      <w:r/>
    </w:p>
    <w:p>
      <w:pPr>
        <w:pStyle w:val="723"/>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23"/>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23"/>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23"/>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备注：</w:t>
      </w:r>
      <w:r/>
    </w:p>
    <w:p>
      <w:pPr>
        <w:pStyle w:val="723"/>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1.针对评分标准中评分的每一条，投标单位均应提供相关资料并作出相应说明供评委评判，不提供相关资料的视为不具备该项得分的条件。</w:t>
      </w:r>
      <w:r/>
    </w:p>
    <w:p>
      <w:pPr>
        <w:pStyle w:val="723"/>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2.投标文件中如出现前后不一致时，评委有权请投标单位澄清说明，澄清说明事项涉及评分时，评委有权酌情扣分。</w:t>
      </w:r>
      <w:r/>
    </w:p>
    <w:p>
      <w:pPr>
        <w:pStyle w:val="723"/>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3.视为不实质性投标招标文件，为无效投标，已中标的将取消中标资格，按“提供虚假材料谋取中标、成交”相关处理办法处理。</w:t>
      </w:r>
      <w:r/>
    </w:p>
    <w:p>
      <w:pPr>
        <w:pStyle w:val="723"/>
        <w:ind w:firstLine="482"/>
        <w:spacing w:line="360" w:lineRule="auto"/>
        <w:rPr>
          <w:rFonts w:ascii="宋体" w:hAnsi="宋体" w:eastAsia="宋体"/>
          <w:sz w:val="28"/>
          <w:szCs w:val="28"/>
        </w:rPr>
      </w:pPr>
      <w:r>
        <w:rPr>
          <w:rFonts w:hint="eastAsia" w:ascii="宋体" w:hAnsi="宋体" w:eastAsia="宋体" w:cs="宋体"/>
          <w:b/>
          <w:color w:val="000000"/>
          <w:sz w:val="24"/>
          <w:szCs w:val="24"/>
        </w:rPr>
        <w:t xml:space="preserve">4.实质性响应条件：以上所有需要提供承诺的，均需在合同签订以前由双方进行核实确认，如发现中标单位未能按照承诺要求提供相关证明材料的，采购人有权取消中标单位的中标资格，以上材料需上传清晰的扫描件。 </w:t>
      </w:r>
      <w:r>
        <w:rPr>
          <w:rFonts w:hint="eastAsia" w:ascii="宋体" w:hAnsi="宋体" w:eastAsia="宋体" w:cs="宋体"/>
          <w:b/>
          <w:color w:val="000000"/>
          <w:sz w:val="28"/>
          <w:szCs w:val="28"/>
        </w:rPr>
        <w:t xml:space="preserve"> </w:t>
      </w:r>
      <w:r>
        <w:rPr>
          <w:rFonts w:ascii="宋体" w:hAnsi="宋体" w:eastAsia="宋体"/>
          <w:sz w:val="28"/>
          <w:szCs w:val="28"/>
        </w:rPr>
      </w:r>
      <w:r/>
    </w:p>
    <w:p>
      <w:pPr>
        <w:pStyle w:val="723"/>
        <w:ind w:firstLine="42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pStyle w:val="723"/>
        <w:ind w:firstLine="420"/>
        <w:jc w:val="right"/>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（全文完）</w:t>
      </w:r>
      <w:r>
        <w:rPr>
          <w:rFonts w:ascii="宋体" w:hAnsi="宋体" w:eastAsia="宋体" w:cs="宋体"/>
          <w:sz w:val="24"/>
          <w:szCs w:val="24"/>
        </w:rPr>
      </w:r>
      <w:r/>
    </w:p>
    <w:sectPr>
      <w:headerReference w:type="first" r:id="rId9"/>
      <w:footerReference w:type="default" r:id="rId10"/>
      <w:footerReference w:type="first" r:id="rId11"/>
      <w:footnotePr/>
      <w:endnotePr/>
      <w:type w:val="nextPage"/>
      <w:pgSz w:w="11906" w:h="16838" w:orient="portrait"/>
      <w:pgMar w:top="1134" w:right="1366" w:bottom="1134" w:left="150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简体">
    <w:panose1 w:val="020B0503020202020204"/>
  </w:font>
  <w:font w:name="Calibri Light">
    <w:panose1 w:val="020F0302020204030204"/>
  </w:font>
  <w:font w:name="Arial Unicode MS">
    <w:panose1 w:val="020B0604020202020204"/>
  </w:font>
  <w:font w:name="Cambria">
    <w:panose1 w:val="02040503050406030204"/>
  </w:font>
  <w:font w:name="微软雅黑">
    <w:panose1 w:val="020B0503020204020204"/>
  </w:font>
  <w:font w:name="Batang">
    <w:panose1 w:val="02010600040101010101"/>
  </w:font>
  <w:font w:name="Calibri">
    <w:panose1 w:val="020F0502020204030204"/>
  </w:font>
  <w:font w:name="Courier New">
    <w:panose1 w:val="02070309020205020404"/>
  </w:font>
  <w:font w:name="方正仿宋简体">
    <w:panose1 w:val="020B0503020202020204"/>
  </w:font>
  <w:font w:name="Tahoma">
    <w:panose1 w:val="020B060403050404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 w:name="等线">
    <w:panose1 w:val="02010600030101010101"/>
  </w:font>
  <w:font w:name="等线 Light">
    <w:panose1 w:val="02010600030101010101"/>
  </w:font>
  <w:font w:name="仿宋">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78</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78</w:t>
    </w:r>
    <w:r>
      <w:rPr>
        <w:b/>
        <w:bCs/>
        <w:sz w:val="24"/>
        <w:szCs w:val="24"/>
      </w:rP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pStyle w:val="7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040"/>
      <w:isLgl w:val="false"/>
      <w:suff w:val="tab"/>
      <w:lvlText w:val=""/>
      <w:lvlJc w:val="left"/>
      <w:pPr>
        <w:pStyle w:val="723"/>
        <w:ind w:left="360" w:hanging="360"/>
        <w:tabs>
          <w:tab w:val="num" w:pos="360" w:leader="none"/>
        </w:tabs>
      </w:pPr>
    </w:lvl>
    <w:lvl w:ilvl="1">
      <w:start w:val="1"/>
      <w:numFmt w:val="decimal"/>
      <w:isLgl w:val="false"/>
      <w:suff w:val="tab"/>
      <w:lvlText w:val="%1.%2"/>
      <w:lvlJc w:val="left"/>
      <w:pPr>
        <w:pStyle w:val="723"/>
        <w:ind w:left="1012" w:hanging="750"/>
        <w:tabs>
          <w:tab w:val="num" w:pos="1012" w:leader="none"/>
        </w:tabs>
      </w:pPr>
    </w:lvl>
    <w:lvl w:ilvl="2">
      <w:start w:val="1"/>
      <w:numFmt w:val="decimal"/>
      <w:isLgl w:val="false"/>
      <w:suff w:val="tab"/>
      <w:lvlText w:val="%1.%2.%3"/>
      <w:lvlJc w:val="left"/>
      <w:pPr>
        <w:pStyle w:val="723"/>
        <w:ind w:left="1274" w:hanging="750"/>
        <w:tabs>
          <w:tab w:val="num" w:pos="1274" w:leader="none"/>
        </w:tabs>
      </w:pPr>
    </w:lvl>
    <w:lvl w:ilvl="3">
      <w:start w:val="1"/>
      <w:numFmt w:val="decimal"/>
      <w:isLgl w:val="false"/>
      <w:suff w:val="tab"/>
      <w:lvlText w:val="%1.%2.%3.%4"/>
      <w:lvlJc w:val="left"/>
      <w:pPr>
        <w:pStyle w:val="723"/>
        <w:ind w:left="1536" w:hanging="750"/>
        <w:tabs>
          <w:tab w:val="num" w:pos="1536" w:leader="none"/>
        </w:tabs>
      </w:pPr>
    </w:lvl>
    <w:lvl w:ilvl="4">
      <w:start w:val="1"/>
      <w:numFmt w:val="decimal"/>
      <w:isLgl w:val="false"/>
      <w:suff w:val="tab"/>
      <w:lvlText w:val="%1.%2.%3.%4.%5"/>
      <w:lvlJc w:val="left"/>
      <w:pPr>
        <w:pStyle w:val="723"/>
        <w:ind w:left="1798" w:hanging="750"/>
        <w:tabs>
          <w:tab w:val="num" w:pos="1798" w:leader="none"/>
        </w:tabs>
      </w:pPr>
    </w:lvl>
    <w:lvl w:ilvl="5">
      <w:start w:val="1"/>
      <w:numFmt w:val="decimal"/>
      <w:isLgl w:val="false"/>
      <w:suff w:val="tab"/>
      <w:lvlText w:val="%1.%2.%3.%4.%5.%6"/>
      <w:lvlJc w:val="left"/>
      <w:pPr>
        <w:pStyle w:val="723"/>
        <w:ind w:left="2060" w:hanging="750"/>
        <w:tabs>
          <w:tab w:val="num" w:pos="2060" w:leader="none"/>
        </w:tabs>
      </w:pPr>
    </w:lvl>
    <w:lvl w:ilvl="6">
      <w:start w:val="1"/>
      <w:numFmt w:val="decimal"/>
      <w:isLgl w:val="false"/>
      <w:suff w:val="tab"/>
      <w:lvlText w:val="%1.%2.%3.%4.%5.%6.%7"/>
      <w:lvlJc w:val="left"/>
      <w:pPr>
        <w:pStyle w:val="723"/>
        <w:ind w:left="2322" w:hanging="750"/>
        <w:tabs>
          <w:tab w:val="num" w:pos="2322" w:leader="none"/>
        </w:tabs>
      </w:pPr>
    </w:lvl>
    <w:lvl w:ilvl="7">
      <w:start w:val="1"/>
      <w:numFmt w:val="decimal"/>
      <w:isLgl w:val="false"/>
      <w:suff w:val="tab"/>
      <w:lvlText w:val="%1.%2.%3.%4.%5.%6.%7.%8"/>
      <w:lvlJc w:val="left"/>
      <w:pPr>
        <w:pStyle w:val="723"/>
        <w:ind w:left="2584" w:hanging="750"/>
        <w:tabs>
          <w:tab w:val="num" w:pos="2584" w:leader="none"/>
        </w:tabs>
      </w:pPr>
    </w:lvl>
    <w:lvl w:ilvl="8">
      <w:start w:val="1"/>
      <w:numFmt w:val="decimal"/>
      <w:isLgl w:val="false"/>
      <w:suff w:val="tab"/>
      <w:lvlText w:val="%1.%2.%3.%4.%5.%6.%7.%8.%9"/>
      <w:lvlJc w:val="left"/>
      <w:pPr>
        <w:pStyle w:val="723"/>
        <w:ind w:left="2846" w:hanging="750"/>
        <w:tabs>
          <w:tab w:val="num" w:pos="2846" w:leader="none"/>
        </w:tabs>
      </w:pPr>
    </w:lvl>
  </w:abstractNum>
  <w:abstractNum w:abstractNumId="2">
    <w:multiLevelType w:val="hybridMultilevel"/>
    <w:lvl w:ilvl="0">
      <w:start w:val="1"/>
      <w:numFmt w:val="decimal"/>
      <w:pStyle w:val="1195"/>
      <w:isLgl w:val="false"/>
      <w:suff w:val="space"/>
      <w:lvlText w:val="%1"/>
      <w:lvlJc w:val="left"/>
      <w:pPr>
        <w:pStyle w:val="723"/>
        <w:ind w:left="0" w:firstLine="0"/>
      </w:pPr>
      <w:rPr>
        <w:rFonts w:hint="eastAsia" w:ascii="宋体" w:hAnsi="宋体" w:eastAsia="宋体"/>
        <w:b/>
      </w:rPr>
    </w:lvl>
    <w:lvl w:ilvl="1">
      <w:start w:val="1"/>
      <w:numFmt w:val="decimal"/>
      <w:pStyle w:val="1006"/>
      <w:isLgl w:val="false"/>
      <w:suff w:val="space"/>
      <w:lvlText w:val="%1.%2"/>
      <w:lvlJc w:val="left"/>
      <w:pPr>
        <w:pStyle w:val="723"/>
        <w:ind w:left="0" w:firstLine="510"/>
      </w:pPr>
      <w:rPr>
        <w:rFonts w:hint="eastAsia" w:ascii="宋体" w:hAnsi="宋体" w:eastAsia="宋体"/>
      </w:rPr>
    </w:lvl>
    <w:lvl w:ilvl="2">
      <w:start w:val="1"/>
      <w:numFmt w:val="decimal"/>
      <w:isLgl w:val="false"/>
      <w:suff w:val="tab"/>
      <w:lvlText w:val="%1.%2.%3"/>
      <w:lvlJc w:val="left"/>
      <w:pPr>
        <w:pStyle w:val="723"/>
        <w:ind w:left="0" w:firstLine="510"/>
      </w:pPr>
      <w:rPr>
        <w:rFonts w:hint="eastAsia"/>
      </w:rPr>
    </w:lvl>
    <w:lvl w:ilvl="3">
      <w:start w:val="1"/>
      <w:numFmt w:val="decimal"/>
      <w:isLgl w:val="false"/>
      <w:suff w:val="tab"/>
      <w:lvlText w:val="%1.%2.%3.%4"/>
      <w:lvlJc w:val="left"/>
      <w:pPr>
        <w:pStyle w:val="723"/>
        <w:ind w:left="0" w:firstLine="425"/>
      </w:pPr>
      <w:rPr>
        <w:rFonts w:hint="eastAsia" w:ascii="宋体" w:hAnsi="宋体" w:eastAsia="宋体"/>
      </w:rPr>
    </w:lvl>
    <w:lvl w:ilvl="4">
      <w:start w:val="1"/>
      <w:numFmt w:val="decimal"/>
      <w:isLgl w:val="false"/>
      <w:suff w:val="tab"/>
      <w:lvlText w:val="%1.%2.%3.%4.%5"/>
      <w:lvlJc w:val="left"/>
      <w:pPr>
        <w:pStyle w:val="723"/>
        <w:ind w:left="2551" w:hanging="850"/>
      </w:pPr>
      <w:rPr>
        <w:rFonts w:hint="eastAsia"/>
      </w:rPr>
    </w:lvl>
    <w:lvl w:ilvl="5">
      <w:start w:val="1"/>
      <w:numFmt w:val="decimal"/>
      <w:isLgl w:val="false"/>
      <w:suff w:val="tab"/>
      <w:lvlText w:val="%1.%2.%3.%4.%5.%6"/>
      <w:lvlJc w:val="left"/>
      <w:pPr>
        <w:pStyle w:val="723"/>
        <w:ind w:left="3260" w:hanging="1134"/>
      </w:pPr>
      <w:rPr>
        <w:rFonts w:hint="eastAsia"/>
      </w:rPr>
    </w:lvl>
    <w:lvl w:ilvl="6">
      <w:start w:val="1"/>
      <w:numFmt w:val="decimal"/>
      <w:isLgl w:val="false"/>
      <w:suff w:val="tab"/>
      <w:lvlText w:val="%1.%2.%3.%4.%5.%6.%7"/>
      <w:lvlJc w:val="left"/>
      <w:pPr>
        <w:pStyle w:val="723"/>
        <w:ind w:left="3827" w:hanging="1276"/>
      </w:pPr>
      <w:rPr>
        <w:rFonts w:hint="eastAsia"/>
      </w:rPr>
    </w:lvl>
    <w:lvl w:ilvl="7">
      <w:start w:val="1"/>
      <w:numFmt w:val="decimal"/>
      <w:isLgl w:val="false"/>
      <w:suff w:val="tab"/>
      <w:lvlText w:val="%1.%2.%3.%4.%5.%6.%7.%8"/>
      <w:lvlJc w:val="left"/>
      <w:pPr>
        <w:pStyle w:val="723"/>
        <w:ind w:left="4394" w:hanging="1418"/>
      </w:pPr>
      <w:rPr>
        <w:rFonts w:hint="eastAsia"/>
      </w:rPr>
    </w:lvl>
    <w:lvl w:ilvl="8">
      <w:start w:val="1"/>
      <w:numFmt w:val="decimal"/>
      <w:isLgl w:val="false"/>
      <w:suff w:val="tab"/>
      <w:lvlText w:val="%1.%2.%3.%4.%5.%6.%7.%8.%9"/>
      <w:lvlJc w:val="left"/>
      <w:pPr>
        <w:pStyle w:val="723"/>
        <w:ind w:left="5102" w:hanging="1700"/>
      </w:pPr>
      <w:rPr>
        <w:rFonts w:hint="eastAsia"/>
      </w:rPr>
    </w:lvl>
  </w:abstractNum>
  <w:abstractNum w:abstractNumId="3">
    <w:multiLevelType w:val="hybridMultilevel"/>
    <w:lvl w:ilvl="0">
      <w:start w:val="6"/>
      <w:numFmt w:val="decimal"/>
      <w:isLgl w:val="false"/>
      <w:suff w:val="tab"/>
      <w:lvlText w:val="%1."/>
      <w:lvlJc w:val="left"/>
      <w:pPr>
        <w:pStyle w:val="7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23"/>
        <w:ind w:left="0" w:firstLine="0"/>
      </w:p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 w:numId="5">
    <w:abstractNumId w:val="5"/>
    <w:lvlOverride w:ilvl="0">
      <w:startOverride w:val="1"/>
    </w:lvlOverride>
  </w:num>
  <w:num w:numId="6">
    <w:abstractNumId w:val="5"/>
    <w:lvlOverride w:ilvl="0">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723"/>
    <w:next w:val="723"/>
    <w:link w:val="876"/>
    <w:uiPriority w:val="9"/>
    <w:qFormat/>
    <w:pPr>
      <w:keepLines/>
      <w:keepNext/>
      <w:spacing w:before="480" w:after="200"/>
      <w:outlineLvl w:val="0"/>
    </w:pPr>
    <w:rPr>
      <w:rFonts w:ascii="Arial" w:hAnsi="Arial" w:eastAsia="Arial" w:cs="Arial"/>
      <w:sz w:val="40"/>
      <w:szCs w:val="40"/>
    </w:rPr>
  </w:style>
  <w:style w:type="paragraph" w:styleId="690">
    <w:name w:val="Heading 2"/>
    <w:basedOn w:val="723"/>
    <w:next w:val="723"/>
    <w:link w:val="877"/>
    <w:uiPriority w:val="9"/>
    <w:unhideWhenUsed/>
    <w:qFormat/>
    <w:pPr>
      <w:keepLines/>
      <w:keepNext/>
      <w:spacing w:before="360" w:after="200"/>
      <w:outlineLvl w:val="1"/>
    </w:pPr>
    <w:rPr>
      <w:rFonts w:ascii="Arial" w:hAnsi="Arial" w:eastAsia="Arial" w:cs="Arial"/>
      <w:sz w:val="34"/>
    </w:rPr>
  </w:style>
  <w:style w:type="paragraph" w:styleId="691">
    <w:name w:val="Heading 3"/>
    <w:basedOn w:val="723"/>
    <w:next w:val="723"/>
    <w:link w:val="87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723"/>
    <w:next w:val="723"/>
    <w:link w:val="879"/>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723"/>
    <w:next w:val="723"/>
    <w:link w:val="880"/>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723"/>
    <w:next w:val="723"/>
    <w:link w:val="881"/>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723"/>
    <w:next w:val="723"/>
    <w:link w:val="882"/>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723"/>
    <w:next w:val="723"/>
    <w:link w:val="883"/>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723"/>
    <w:next w:val="723"/>
    <w:link w:val="884"/>
    <w:uiPriority w:val="9"/>
    <w:unhideWhenUsed/>
    <w:qFormat/>
    <w:pPr>
      <w:keepLines/>
      <w:keepNext/>
      <w:spacing w:before="320" w:after="200"/>
      <w:outlineLvl w:val="8"/>
    </w:pPr>
    <w:rPr>
      <w:rFonts w:ascii="Arial" w:hAnsi="Arial" w:eastAsia="Arial" w:cs="Arial"/>
      <w:i/>
      <w:iCs/>
      <w:sz w:val="21"/>
      <w:szCs w:val="21"/>
    </w:rPr>
  </w:style>
  <w:style w:type="paragraph" w:styleId="698">
    <w:name w:val="List Paragraph"/>
    <w:basedOn w:val="723"/>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723"/>
    <w:next w:val="723"/>
    <w:link w:val="886"/>
    <w:uiPriority w:val="10"/>
    <w:qFormat/>
    <w:pPr>
      <w:contextualSpacing/>
      <w:spacing w:before="300" w:after="200"/>
    </w:pPr>
    <w:rPr>
      <w:sz w:val="48"/>
      <w:szCs w:val="48"/>
    </w:rPr>
  </w:style>
  <w:style w:type="paragraph" w:styleId="701">
    <w:name w:val="Subtitle"/>
    <w:basedOn w:val="723"/>
    <w:next w:val="723"/>
    <w:link w:val="874"/>
    <w:uiPriority w:val="11"/>
    <w:qFormat/>
    <w:pPr>
      <w:spacing w:before="200" w:after="200"/>
    </w:pPr>
    <w:rPr>
      <w:sz w:val="24"/>
      <w:szCs w:val="24"/>
    </w:rPr>
  </w:style>
  <w:style w:type="paragraph" w:styleId="702">
    <w:name w:val="Quote"/>
    <w:basedOn w:val="723"/>
    <w:next w:val="723"/>
    <w:link w:val="826"/>
    <w:uiPriority w:val="29"/>
    <w:qFormat/>
    <w:pPr>
      <w:ind w:left="720" w:right="720"/>
    </w:pPr>
    <w:rPr>
      <w:i/>
    </w:rPr>
  </w:style>
  <w:style w:type="paragraph" w:styleId="703">
    <w:name w:val="Intense Quote"/>
    <w:basedOn w:val="723"/>
    <w:next w:val="723"/>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4">
    <w:name w:val="Header"/>
    <w:basedOn w:val="723"/>
    <w:link w:val="891"/>
    <w:uiPriority w:val="99"/>
    <w:unhideWhenUsed/>
    <w:pPr>
      <w:spacing w:after="0" w:line="240" w:lineRule="auto"/>
      <w:tabs>
        <w:tab w:val="center" w:pos="7143" w:leader="none"/>
        <w:tab w:val="right" w:pos="14287" w:leader="none"/>
      </w:tabs>
    </w:pPr>
  </w:style>
  <w:style w:type="paragraph" w:styleId="705">
    <w:name w:val="Footer"/>
    <w:basedOn w:val="723"/>
    <w:link w:val="893"/>
    <w:uiPriority w:val="99"/>
    <w:unhideWhenUsed/>
    <w:pPr>
      <w:spacing w:after="0" w:line="240" w:lineRule="auto"/>
      <w:tabs>
        <w:tab w:val="center" w:pos="7143" w:leader="none"/>
        <w:tab w:val="right" w:pos="14287" w:leader="none"/>
      </w:tabs>
    </w:pPr>
  </w:style>
  <w:style w:type="paragraph" w:styleId="706">
    <w:name w:val="Caption"/>
    <w:basedOn w:val="723"/>
    <w:next w:val="723"/>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3"/>
    <w:link w:val="1000"/>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3"/>
    <w:link w:val="1001"/>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3"/>
    <w:next w:val="723"/>
    <w:uiPriority w:val="39"/>
    <w:unhideWhenUsed/>
    <w:pPr>
      <w:ind w:left="0" w:right="0" w:firstLine="0"/>
      <w:spacing w:after="57"/>
    </w:pPr>
  </w:style>
  <w:style w:type="paragraph" w:styleId="714">
    <w:name w:val="toc 2"/>
    <w:basedOn w:val="723"/>
    <w:next w:val="723"/>
    <w:uiPriority w:val="39"/>
    <w:unhideWhenUsed/>
    <w:pPr>
      <w:ind w:left="283" w:right="0" w:firstLine="0"/>
      <w:spacing w:after="57"/>
    </w:pPr>
  </w:style>
  <w:style w:type="paragraph" w:styleId="715">
    <w:name w:val="toc 3"/>
    <w:basedOn w:val="723"/>
    <w:next w:val="723"/>
    <w:uiPriority w:val="39"/>
    <w:unhideWhenUsed/>
    <w:pPr>
      <w:ind w:left="567" w:right="0" w:firstLine="0"/>
      <w:spacing w:after="57"/>
    </w:pPr>
  </w:style>
  <w:style w:type="paragraph" w:styleId="716">
    <w:name w:val="toc 4"/>
    <w:basedOn w:val="723"/>
    <w:next w:val="723"/>
    <w:uiPriority w:val="39"/>
    <w:unhideWhenUsed/>
    <w:pPr>
      <w:ind w:left="850" w:right="0" w:firstLine="0"/>
      <w:spacing w:after="57"/>
    </w:pPr>
  </w:style>
  <w:style w:type="paragraph" w:styleId="717">
    <w:name w:val="toc 5"/>
    <w:basedOn w:val="723"/>
    <w:next w:val="723"/>
    <w:uiPriority w:val="39"/>
    <w:unhideWhenUsed/>
    <w:pPr>
      <w:ind w:left="1134" w:right="0" w:firstLine="0"/>
      <w:spacing w:after="57"/>
    </w:pPr>
  </w:style>
  <w:style w:type="paragraph" w:styleId="718">
    <w:name w:val="toc 6"/>
    <w:basedOn w:val="723"/>
    <w:next w:val="723"/>
    <w:uiPriority w:val="39"/>
    <w:unhideWhenUsed/>
    <w:pPr>
      <w:ind w:left="1417" w:right="0" w:firstLine="0"/>
      <w:spacing w:after="57"/>
    </w:pPr>
  </w:style>
  <w:style w:type="paragraph" w:styleId="719">
    <w:name w:val="toc 7"/>
    <w:basedOn w:val="723"/>
    <w:next w:val="723"/>
    <w:uiPriority w:val="39"/>
    <w:unhideWhenUsed/>
    <w:pPr>
      <w:ind w:left="1701" w:right="0" w:firstLine="0"/>
      <w:spacing w:after="57"/>
    </w:pPr>
  </w:style>
  <w:style w:type="paragraph" w:styleId="720">
    <w:name w:val="toc 8"/>
    <w:basedOn w:val="723"/>
    <w:next w:val="723"/>
    <w:uiPriority w:val="39"/>
    <w:unhideWhenUsed/>
    <w:pPr>
      <w:ind w:left="1984" w:right="0" w:firstLine="0"/>
      <w:spacing w:after="57"/>
    </w:pPr>
  </w:style>
  <w:style w:type="paragraph" w:styleId="721">
    <w:name w:val="toc 9"/>
    <w:basedOn w:val="723"/>
    <w:next w:val="723"/>
    <w:uiPriority w:val="39"/>
    <w:unhideWhenUsed/>
    <w:pPr>
      <w:ind w:left="2268" w:right="0" w:firstLine="0"/>
      <w:spacing w:after="57"/>
    </w:pPr>
  </w:style>
  <w:style w:type="paragraph" w:styleId="722">
    <w:name w:val="table of figures"/>
    <w:basedOn w:val="723"/>
    <w:next w:val="723"/>
    <w:uiPriority w:val="99"/>
    <w:unhideWhenUsed/>
    <w:pPr>
      <w:spacing w:after="0" w:afterAutospacing="0"/>
    </w:pPr>
  </w:style>
  <w:style w:type="paragraph" w:styleId="723" w:default="1">
    <w:name w:val="Normal"/>
    <w:next w:val="723"/>
    <w:link w:val="723"/>
    <w:qFormat/>
    <w:pPr>
      <w:jc w:val="both"/>
      <w:widowControl w:val="off"/>
    </w:pPr>
    <w:rPr>
      <w:rFonts w:ascii="Times New Roman" w:hAnsi="Times New Roman" w:eastAsia="楷体_GB2312"/>
      <w:sz w:val="26"/>
      <w:lang w:val="en-US" w:eastAsia="zh-CN" w:bidi="ar-SA"/>
    </w:rPr>
  </w:style>
  <w:style w:type="paragraph" w:styleId="724">
    <w:name w:val="标题 1"/>
    <w:basedOn w:val="723"/>
    <w:next w:val="723"/>
    <w:link w:val="736"/>
    <w:qFormat/>
    <w:pPr>
      <w:keepLines/>
      <w:keepNext/>
      <w:spacing w:before="340" w:after="330" w:line="578" w:lineRule="auto"/>
      <w:outlineLvl w:val="0"/>
    </w:pPr>
    <w:rPr>
      <w:b/>
      <w:sz w:val="44"/>
    </w:rPr>
  </w:style>
  <w:style w:type="paragraph" w:styleId="725">
    <w:name w:val="标题 2"/>
    <w:basedOn w:val="723"/>
    <w:next w:val="723"/>
    <w:link w:val="737"/>
    <w:qFormat/>
    <w:pPr>
      <w:jc w:val="left"/>
      <w:keepLines/>
      <w:keepNext/>
      <w:outlineLvl w:val="1"/>
    </w:pPr>
    <w:rPr>
      <w:rFonts w:ascii="宋体" w:hAnsi="宋体"/>
      <w:b/>
    </w:rPr>
  </w:style>
  <w:style w:type="paragraph" w:styleId="726">
    <w:name w:val="标题 3"/>
    <w:basedOn w:val="723"/>
    <w:next w:val="723"/>
    <w:link w:val="738"/>
    <w:qFormat/>
    <w:pPr>
      <w:jc w:val="left"/>
      <w:keepLines/>
      <w:keepNext/>
      <w:outlineLvl w:val="2"/>
    </w:pPr>
    <w:rPr>
      <w:b/>
    </w:rPr>
  </w:style>
  <w:style w:type="paragraph" w:styleId="727">
    <w:name w:val="标题 4"/>
    <w:basedOn w:val="723"/>
    <w:next w:val="723"/>
    <w:link w:val="739"/>
    <w:qFormat/>
    <w:pPr>
      <w:keepLines/>
      <w:keepNext/>
      <w:spacing w:before="280" w:after="290" w:line="376" w:lineRule="auto"/>
      <w:outlineLvl w:val="3"/>
    </w:pPr>
    <w:rPr>
      <w:rFonts w:ascii="Arial" w:hAnsi="Arial" w:eastAsia="黑体"/>
      <w:b/>
      <w:bCs/>
      <w:sz w:val="28"/>
      <w:szCs w:val="28"/>
    </w:rPr>
  </w:style>
  <w:style w:type="paragraph" w:styleId="728">
    <w:name w:val="标题 5"/>
    <w:basedOn w:val="723"/>
    <w:next w:val="723"/>
    <w:link w:val="740"/>
    <w:qFormat/>
    <w:pPr>
      <w:keepLines/>
      <w:keepNext/>
      <w:spacing w:before="280" w:after="290" w:line="376" w:lineRule="auto"/>
      <w:outlineLvl w:val="4"/>
    </w:pPr>
    <w:rPr>
      <w:b/>
      <w:bCs/>
      <w:sz w:val="28"/>
      <w:szCs w:val="28"/>
    </w:rPr>
  </w:style>
  <w:style w:type="paragraph" w:styleId="729">
    <w:name w:val="标题 6"/>
    <w:basedOn w:val="723"/>
    <w:next w:val="723"/>
    <w:link w:val="741"/>
    <w:qFormat/>
    <w:pPr>
      <w:keepLines/>
      <w:keepNext/>
      <w:spacing w:before="240" w:after="64" w:line="320" w:lineRule="auto"/>
      <w:outlineLvl w:val="5"/>
    </w:pPr>
    <w:rPr>
      <w:rFonts w:ascii="等线 Light" w:hAnsi="等线 Light" w:eastAsia="黑体" w:cs="Times New Roman"/>
      <w:b/>
      <w:bCs/>
      <w:sz w:val="24"/>
      <w:szCs w:val="24"/>
    </w:rPr>
  </w:style>
  <w:style w:type="paragraph" w:styleId="730">
    <w:name w:val="标题 7"/>
    <w:basedOn w:val="723"/>
    <w:next w:val="723"/>
    <w:link w:val="742"/>
    <w:qFormat/>
    <w:pPr>
      <w:jc w:val="left"/>
      <w:keepLines/>
      <w:keepNext/>
      <w:spacing w:before="240" w:after="64" w:line="320" w:lineRule="atLeast"/>
      <w:outlineLvl w:val="6"/>
    </w:pPr>
    <w:rPr>
      <w:rFonts w:ascii="宋体" w:hAnsi="Tms Rmn" w:eastAsia="宋体"/>
      <w:b/>
      <w:sz w:val="24"/>
    </w:rPr>
  </w:style>
  <w:style w:type="paragraph" w:styleId="731">
    <w:name w:val="标题 8"/>
    <w:basedOn w:val="723"/>
    <w:next w:val="723"/>
    <w:link w:val="743"/>
    <w:qFormat/>
    <w:pPr>
      <w:keepLines/>
      <w:keepNext/>
      <w:spacing w:before="240" w:after="64" w:line="320" w:lineRule="auto"/>
      <w:outlineLvl w:val="7"/>
    </w:pPr>
    <w:rPr>
      <w:rFonts w:ascii="Arial" w:hAnsi="Arial" w:eastAsia="黑体"/>
      <w:sz w:val="24"/>
      <w:szCs w:val="24"/>
    </w:rPr>
  </w:style>
  <w:style w:type="paragraph" w:styleId="732">
    <w:name w:val="标题 9"/>
    <w:basedOn w:val="723"/>
    <w:next w:val="723"/>
    <w:link w:val="744"/>
    <w:qFormat/>
    <w:pPr>
      <w:keepLines/>
      <w:keepNext/>
      <w:spacing w:before="240" w:after="64" w:line="320" w:lineRule="auto"/>
      <w:outlineLvl w:val="8"/>
    </w:pPr>
    <w:rPr>
      <w:rFonts w:ascii="Arial" w:hAnsi="Arial" w:eastAsia="黑体"/>
      <w:sz w:val="21"/>
      <w:szCs w:val="21"/>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numbering" w:styleId="735">
    <w:name w:val="无列表"/>
    <w:next w:val="735"/>
    <w:link w:val="723"/>
    <w:uiPriority w:val="99"/>
    <w:semiHidden/>
    <w:unhideWhenUsed/>
  </w:style>
  <w:style w:type="character" w:styleId="736">
    <w:name w:val="标题 1 字符"/>
    <w:next w:val="736"/>
    <w:link w:val="724"/>
    <w:qFormat/>
    <w:rPr>
      <w:rFonts w:ascii="Times New Roman" w:hAnsi="Times New Roman" w:eastAsia="楷体_GB2312" w:cs="Times New Roman"/>
      <w:b/>
      <w:sz w:val="44"/>
      <w:szCs w:val="20"/>
    </w:rPr>
  </w:style>
  <w:style w:type="character" w:styleId="737">
    <w:name w:val="标题 2 字符"/>
    <w:next w:val="737"/>
    <w:link w:val="725"/>
    <w:qFormat/>
    <w:rPr>
      <w:rFonts w:ascii="宋体" w:hAnsi="宋体" w:eastAsia="楷体_GB2312" w:cs="Times New Roman"/>
      <w:b/>
      <w:sz w:val="26"/>
      <w:szCs w:val="20"/>
    </w:rPr>
  </w:style>
  <w:style w:type="character" w:styleId="738">
    <w:name w:val="标题 3 字符"/>
    <w:next w:val="738"/>
    <w:link w:val="726"/>
    <w:qFormat/>
    <w:rPr>
      <w:rFonts w:ascii="Times New Roman" w:hAnsi="Times New Roman" w:eastAsia="楷体_GB2312" w:cs="Times New Roman"/>
      <w:b/>
      <w:sz w:val="26"/>
      <w:szCs w:val="20"/>
    </w:rPr>
  </w:style>
  <w:style w:type="character" w:styleId="739">
    <w:name w:val="标题 4 字符"/>
    <w:next w:val="739"/>
    <w:link w:val="727"/>
    <w:qFormat/>
    <w:rPr>
      <w:rFonts w:ascii="Arial" w:hAnsi="Arial" w:eastAsia="黑体" w:cs="Times New Roman"/>
      <w:b/>
      <w:bCs/>
      <w:sz w:val="28"/>
      <w:szCs w:val="28"/>
    </w:rPr>
  </w:style>
  <w:style w:type="character" w:styleId="740">
    <w:name w:val="标题 5 字符"/>
    <w:next w:val="740"/>
    <w:link w:val="728"/>
    <w:qFormat/>
    <w:rPr>
      <w:rFonts w:ascii="Times New Roman" w:hAnsi="Times New Roman" w:eastAsia="楷体_GB2312" w:cs="Times New Roman"/>
      <w:b/>
      <w:bCs/>
      <w:sz w:val="28"/>
      <w:szCs w:val="28"/>
    </w:rPr>
  </w:style>
  <w:style w:type="character" w:styleId="741">
    <w:name w:val="标题 6 字符"/>
    <w:next w:val="741"/>
    <w:link w:val="729"/>
    <w:semiHidden/>
    <w:qFormat/>
    <w:rPr>
      <w:rFonts w:ascii="等线 Light" w:hAnsi="等线 Light" w:eastAsia="黑体" w:cs="Times New Roman"/>
      <w:b/>
      <w:bCs/>
      <w:sz w:val="24"/>
      <w:szCs w:val="24"/>
    </w:rPr>
  </w:style>
  <w:style w:type="character" w:styleId="742">
    <w:name w:val="标题 7 字符"/>
    <w:next w:val="742"/>
    <w:link w:val="730"/>
    <w:qFormat/>
    <w:rPr>
      <w:rFonts w:ascii="宋体" w:hAnsi="Tms Rmn" w:eastAsia="宋体" w:cs="Times New Roman"/>
      <w:b/>
      <w:sz w:val="24"/>
      <w:szCs w:val="20"/>
    </w:rPr>
  </w:style>
  <w:style w:type="character" w:styleId="743">
    <w:name w:val="标题 8 字符"/>
    <w:next w:val="743"/>
    <w:link w:val="731"/>
    <w:qFormat/>
    <w:rPr>
      <w:rFonts w:ascii="Arial" w:hAnsi="Arial" w:eastAsia="黑体" w:cs="Times New Roman"/>
      <w:sz w:val="24"/>
      <w:szCs w:val="24"/>
    </w:rPr>
  </w:style>
  <w:style w:type="character" w:styleId="744">
    <w:name w:val="标题 9 字符"/>
    <w:next w:val="744"/>
    <w:link w:val="732"/>
    <w:qFormat/>
    <w:rPr>
      <w:rFonts w:ascii="Arial" w:hAnsi="Arial" w:eastAsia="黑体" w:cs="Times New Roman"/>
      <w:szCs w:val="21"/>
    </w:rPr>
  </w:style>
  <w:style w:type="paragraph" w:styleId="745">
    <w:name w:val="目录 7"/>
    <w:basedOn w:val="723"/>
    <w:next w:val="723"/>
    <w:link w:val="723"/>
    <w:semiHidden/>
    <w:qFormat/>
    <w:pPr>
      <w:ind w:left="2520"/>
    </w:pPr>
  </w:style>
  <w:style w:type="paragraph" w:styleId="746">
    <w:name w:val="索引 8"/>
    <w:basedOn w:val="723"/>
    <w:next w:val="723"/>
    <w:link w:val="723"/>
    <w:semiHidden/>
    <w:qFormat/>
    <w:pPr>
      <w:ind w:left="2940"/>
    </w:pPr>
  </w:style>
  <w:style w:type="paragraph" w:styleId="747">
    <w:name w:val="列表编号"/>
    <w:basedOn w:val="723"/>
    <w:next w:val="747"/>
    <w:link w:val="723"/>
    <w:qFormat/>
    <w:pPr>
      <w:ind w:left="502" w:hanging="360"/>
      <w:tabs>
        <w:tab w:val="left" w:pos="420" w:leader="none"/>
      </w:tabs>
    </w:pPr>
    <w:rPr>
      <w:rFonts w:eastAsia="宋体"/>
      <w:sz w:val="21"/>
    </w:rPr>
  </w:style>
  <w:style w:type="paragraph" w:styleId="748">
    <w:name w:val="正文缩进"/>
    <w:basedOn w:val="723"/>
    <w:next w:val="748"/>
    <w:link w:val="749"/>
    <w:qFormat/>
    <w:pPr>
      <w:ind w:firstLine="420"/>
      <w:jc w:val="left"/>
    </w:pPr>
    <w:rPr>
      <w:sz w:val="24"/>
    </w:rPr>
  </w:style>
  <w:style w:type="character" w:styleId="749">
    <w:name w:val="正文缩进 字符"/>
    <w:next w:val="749"/>
    <w:link w:val="748"/>
    <w:qFormat/>
    <w:rPr>
      <w:rFonts w:ascii="Times New Roman" w:hAnsi="Times New Roman" w:eastAsia="楷体_GB2312" w:cs="Times New Roman"/>
      <w:sz w:val="24"/>
      <w:szCs w:val="20"/>
    </w:rPr>
  </w:style>
  <w:style w:type="paragraph" w:styleId="750">
    <w:name w:val="题注"/>
    <w:basedOn w:val="723"/>
    <w:next w:val="723"/>
    <w:link w:val="723"/>
    <w:uiPriority w:val="35"/>
    <w:qFormat/>
    <w:pPr>
      <w:spacing w:line="276" w:lineRule="auto"/>
    </w:pPr>
    <w:rPr>
      <w:b/>
      <w:bCs/>
      <w:color w:val="5b9bd5"/>
      <w:sz w:val="18"/>
      <w:szCs w:val="18"/>
    </w:rPr>
  </w:style>
  <w:style w:type="paragraph" w:styleId="751">
    <w:name w:val="索引 5"/>
    <w:basedOn w:val="723"/>
    <w:next w:val="723"/>
    <w:link w:val="723"/>
    <w:semiHidden/>
    <w:qFormat/>
    <w:pPr>
      <w:ind w:left="1680"/>
    </w:pPr>
  </w:style>
  <w:style w:type="paragraph" w:styleId="752">
    <w:name w:val="文档结构图"/>
    <w:basedOn w:val="723"/>
    <w:next w:val="752"/>
    <w:link w:val="753"/>
    <w:qFormat/>
    <w:pPr>
      <w:shd w:val="clear" w:color="auto" w:fill="000080"/>
    </w:pPr>
  </w:style>
  <w:style w:type="character" w:styleId="753">
    <w:name w:val="文档结构图 字符"/>
    <w:next w:val="753"/>
    <w:link w:val="752"/>
    <w:qFormat/>
    <w:rPr>
      <w:rFonts w:ascii="Times New Roman" w:hAnsi="Times New Roman" w:eastAsia="楷体_GB2312" w:cs="Times New Roman"/>
      <w:sz w:val="26"/>
      <w:szCs w:val="20"/>
      <w:shd w:val="clear" w:color="auto" w:fill="000080"/>
    </w:rPr>
  </w:style>
  <w:style w:type="paragraph" w:styleId="754">
    <w:name w:val="批注文字"/>
    <w:basedOn w:val="723"/>
    <w:next w:val="754"/>
    <w:link w:val="755"/>
    <w:uiPriority w:val="99"/>
    <w:qFormat/>
    <w:pPr>
      <w:jc w:val="left"/>
    </w:pPr>
  </w:style>
  <w:style w:type="character" w:styleId="755">
    <w:name w:val="批注文字 字符"/>
    <w:next w:val="755"/>
    <w:link w:val="754"/>
    <w:uiPriority w:val="99"/>
    <w:qFormat/>
    <w:rPr>
      <w:rFonts w:ascii="Times New Roman" w:hAnsi="Times New Roman" w:eastAsia="楷体_GB2312" w:cs="Times New Roman"/>
      <w:sz w:val="26"/>
      <w:szCs w:val="20"/>
    </w:rPr>
  </w:style>
  <w:style w:type="paragraph" w:styleId="756">
    <w:name w:val="索引 6"/>
    <w:basedOn w:val="723"/>
    <w:next w:val="723"/>
    <w:link w:val="723"/>
    <w:semiHidden/>
    <w:qFormat/>
    <w:pPr>
      <w:ind w:left="2100"/>
    </w:pPr>
  </w:style>
  <w:style w:type="paragraph" w:styleId="757">
    <w:name w:val="正文文本 3"/>
    <w:basedOn w:val="723"/>
    <w:next w:val="757"/>
    <w:link w:val="758"/>
    <w:qFormat/>
    <w:pPr>
      <w:spacing w:line="500" w:lineRule="exact"/>
    </w:pPr>
    <w:rPr>
      <w:rFonts w:ascii="宋体" w:hAnsi="宋体" w:eastAsia="宋体" w:cs="Times New Roman"/>
      <w:sz w:val="21"/>
      <w:szCs w:val="24"/>
    </w:rPr>
  </w:style>
  <w:style w:type="character" w:styleId="758">
    <w:name w:val="正文文本 3 字符"/>
    <w:next w:val="758"/>
    <w:link w:val="757"/>
    <w:qFormat/>
    <w:rPr>
      <w:rFonts w:ascii="宋体" w:hAnsi="宋体"/>
      <w:szCs w:val="24"/>
    </w:rPr>
  </w:style>
  <w:style w:type="paragraph" w:styleId="759">
    <w:name w:val="正文文本"/>
    <w:basedOn w:val="723"/>
    <w:next w:val="759"/>
    <w:link w:val="760"/>
    <w:qFormat/>
    <w:pPr>
      <w:spacing w:line="400" w:lineRule="exact"/>
    </w:pPr>
    <w:rPr>
      <w:rFonts w:ascii="楷体_GB2312"/>
      <w:sz w:val="28"/>
    </w:rPr>
  </w:style>
  <w:style w:type="character" w:styleId="760">
    <w:name w:val="正文文本 字符"/>
    <w:next w:val="760"/>
    <w:link w:val="759"/>
    <w:qFormat/>
    <w:rPr>
      <w:rFonts w:ascii="楷体_GB2312" w:hAnsi="Times New Roman" w:eastAsia="楷体_GB2312" w:cs="Times New Roman"/>
      <w:sz w:val="28"/>
      <w:szCs w:val="20"/>
    </w:rPr>
  </w:style>
  <w:style w:type="paragraph" w:styleId="761">
    <w:name w:val="正文文本缩进"/>
    <w:basedOn w:val="723"/>
    <w:next w:val="761"/>
    <w:link w:val="762"/>
    <w:uiPriority w:val="99"/>
    <w:qFormat/>
    <w:pPr>
      <w:ind w:left="570"/>
      <w:spacing w:line="520" w:lineRule="exact"/>
    </w:pPr>
    <w:rPr>
      <w:rFonts w:ascii="方正仿宋简体" w:hAnsi="创艺简仿宋" w:eastAsia="方正仿宋简体"/>
      <w:sz w:val="24"/>
    </w:rPr>
  </w:style>
  <w:style w:type="character" w:styleId="762">
    <w:name w:val="正文文本缩进 字符"/>
    <w:next w:val="762"/>
    <w:link w:val="761"/>
    <w:uiPriority w:val="99"/>
    <w:qFormat/>
    <w:rPr>
      <w:rFonts w:ascii="方正仿宋简体" w:hAnsi="创艺简仿宋" w:eastAsia="方正仿宋简体" w:cs="Times New Roman"/>
      <w:sz w:val="24"/>
      <w:szCs w:val="20"/>
    </w:rPr>
  </w:style>
  <w:style w:type="paragraph" w:styleId="763">
    <w:name w:val="列表 2"/>
    <w:basedOn w:val="723"/>
    <w:next w:val="763"/>
    <w:link w:val="723"/>
    <w:qFormat/>
    <w:pPr>
      <w:ind w:left="840" w:hanging="420"/>
    </w:pPr>
    <w:rPr>
      <w:rFonts w:eastAsia="宋体"/>
      <w:sz w:val="21"/>
      <w:szCs w:val="24"/>
    </w:rPr>
  </w:style>
  <w:style w:type="paragraph" w:styleId="764">
    <w:name w:val="文本块"/>
    <w:basedOn w:val="723"/>
    <w:next w:val="764"/>
    <w:link w:val="723"/>
    <w:qFormat/>
    <w:pPr>
      <w:ind w:left="630" w:right="-609" w:firstLine="420"/>
      <w:spacing w:line="360" w:lineRule="auto"/>
    </w:pPr>
    <w:rPr>
      <w:rFonts w:hint="eastAsia" w:ascii="仿宋_GB2312" w:eastAsia="仿宋_GB2312"/>
      <w:sz w:val="21"/>
    </w:rPr>
  </w:style>
  <w:style w:type="paragraph" w:styleId="765">
    <w:name w:val="索引 4"/>
    <w:basedOn w:val="723"/>
    <w:next w:val="723"/>
    <w:link w:val="723"/>
    <w:semiHidden/>
    <w:qFormat/>
    <w:pPr>
      <w:ind w:left="1260"/>
    </w:pPr>
  </w:style>
  <w:style w:type="paragraph" w:styleId="766">
    <w:name w:val="目录 5"/>
    <w:basedOn w:val="723"/>
    <w:next w:val="723"/>
    <w:link w:val="723"/>
    <w:semiHidden/>
    <w:qFormat/>
    <w:pPr>
      <w:ind w:left="1680"/>
    </w:pPr>
  </w:style>
  <w:style w:type="paragraph" w:styleId="767">
    <w:name w:val="目录 3"/>
    <w:basedOn w:val="723"/>
    <w:next w:val="723"/>
    <w:link w:val="723"/>
    <w:uiPriority w:val="39"/>
    <w:qFormat/>
    <w:pPr>
      <w:ind w:left="840"/>
    </w:pPr>
  </w:style>
  <w:style w:type="paragraph" w:styleId="768">
    <w:name w:val="纯文本"/>
    <w:basedOn w:val="723"/>
    <w:next w:val="768"/>
    <w:link w:val="769"/>
    <w:qFormat/>
    <w:rPr>
      <w:rFonts w:ascii="宋体" w:hAnsi="Courier New"/>
    </w:rPr>
  </w:style>
  <w:style w:type="character" w:styleId="769">
    <w:name w:val="纯文本 字符"/>
    <w:next w:val="769"/>
    <w:link w:val="768"/>
    <w:qFormat/>
    <w:rPr>
      <w:rFonts w:ascii="宋体" w:hAnsi="Courier New" w:eastAsia="楷体_GB2312" w:cs="Times New Roman"/>
      <w:sz w:val="26"/>
      <w:szCs w:val="20"/>
    </w:rPr>
  </w:style>
  <w:style w:type="paragraph" w:styleId="770">
    <w:name w:val="目录 8"/>
    <w:basedOn w:val="723"/>
    <w:next w:val="723"/>
    <w:link w:val="723"/>
    <w:semiHidden/>
    <w:qFormat/>
    <w:pPr>
      <w:ind w:left="2940"/>
    </w:pPr>
  </w:style>
  <w:style w:type="paragraph" w:styleId="771">
    <w:name w:val="索引 3"/>
    <w:basedOn w:val="723"/>
    <w:next w:val="723"/>
    <w:link w:val="723"/>
    <w:qFormat/>
    <w:pPr>
      <w:ind w:left="840"/>
    </w:pPr>
  </w:style>
  <w:style w:type="paragraph" w:styleId="772">
    <w:name w:val="日期"/>
    <w:basedOn w:val="723"/>
    <w:next w:val="723"/>
    <w:link w:val="773"/>
    <w:qFormat/>
    <w:rPr>
      <w:rFonts w:ascii="宋体" w:hAnsi="宋体"/>
      <w:sz w:val="24"/>
    </w:rPr>
  </w:style>
  <w:style w:type="character" w:styleId="773">
    <w:name w:val="日期 字符"/>
    <w:next w:val="773"/>
    <w:link w:val="772"/>
    <w:qFormat/>
    <w:rPr>
      <w:rFonts w:ascii="宋体" w:hAnsi="宋体" w:eastAsia="楷体_GB2312" w:cs="Times New Roman"/>
      <w:sz w:val="24"/>
      <w:szCs w:val="20"/>
    </w:rPr>
  </w:style>
  <w:style w:type="paragraph" w:styleId="774">
    <w:name w:val="正文文本缩进 2"/>
    <w:basedOn w:val="723"/>
    <w:next w:val="774"/>
    <w:link w:val="775"/>
    <w:uiPriority w:val="99"/>
    <w:qFormat/>
    <w:pPr>
      <w:ind w:firstLine="502"/>
      <w:spacing w:line="360" w:lineRule="auto"/>
      <w:tabs>
        <w:tab w:val="left" w:pos="0" w:leader="none"/>
      </w:tabs>
    </w:pPr>
    <w:rPr>
      <w:rFonts w:ascii="宋体" w:eastAsia="宋体"/>
      <w:b/>
      <w:bCs/>
      <w:sz w:val="24"/>
    </w:rPr>
  </w:style>
  <w:style w:type="character" w:styleId="775">
    <w:name w:val="正文文本缩进 2 字符"/>
    <w:next w:val="775"/>
    <w:link w:val="774"/>
    <w:uiPriority w:val="99"/>
    <w:qFormat/>
    <w:rPr>
      <w:rFonts w:ascii="宋体" w:hAnsi="Times New Roman" w:eastAsia="宋体" w:cs="Times New Roman"/>
      <w:b/>
      <w:bCs/>
      <w:sz w:val="24"/>
      <w:szCs w:val="20"/>
    </w:rPr>
  </w:style>
  <w:style w:type="paragraph" w:styleId="776">
    <w:name w:val="尾注文本"/>
    <w:basedOn w:val="723"/>
    <w:next w:val="776"/>
    <w:link w:val="777"/>
    <w:qFormat/>
    <w:pPr>
      <w:jc w:val="left"/>
    </w:pPr>
  </w:style>
  <w:style w:type="character" w:styleId="777">
    <w:name w:val="尾注文本 字符"/>
    <w:next w:val="777"/>
    <w:link w:val="776"/>
    <w:qFormat/>
    <w:rPr>
      <w:rFonts w:ascii="Times New Roman" w:hAnsi="Times New Roman" w:eastAsia="楷体_GB2312" w:cs="Times New Roman"/>
      <w:sz w:val="26"/>
      <w:szCs w:val="20"/>
    </w:rPr>
  </w:style>
  <w:style w:type="paragraph" w:styleId="778">
    <w:name w:val="批注框文本"/>
    <w:basedOn w:val="723"/>
    <w:next w:val="778"/>
    <w:link w:val="779"/>
    <w:uiPriority w:val="99"/>
    <w:qFormat/>
    <w:rPr>
      <w:sz w:val="18"/>
      <w:szCs w:val="18"/>
    </w:rPr>
  </w:style>
  <w:style w:type="character" w:styleId="779">
    <w:name w:val="批注框文本 字符"/>
    <w:next w:val="779"/>
    <w:link w:val="778"/>
    <w:uiPriority w:val="99"/>
    <w:qFormat/>
    <w:rPr>
      <w:rFonts w:ascii="Times New Roman" w:hAnsi="Times New Roman" w:eastAsia="楷体_GB2312" w:cs="Times New Roman"/>
      <w:sz w:val="18"/>
      <w:szCs w:val="18"/>
    </w:rPr>
  </w:style>
  <w:style w:type="paragraph" w:styleId="780">
    <w:name w:val="页脚"/>
    <w:basedOn w:val="723"/>
    <w:next w:val="780"/>
    <w:link w:val="781"/>
    <w:uiPriority w:val="99"/>
    <w:qFormat/>
    <w:pPr>
      <w:jc w:val="left"/>
      <w:tabs>
        <w:tab w:val="center" w:pos="4153" w:leader="none"/>
        <w:tab w:val="right" w:pos="8306" w:leader="none"/>
      </w:tabs>
    </w:pPr>
    <w:rPr>
      <w:sz w:val="18"/>
    </w:rPr>
  </w:style>
  <w:style w:type="character" w:styleId="781">
    <w:name w:val="页脚 字符"/>
    <w:next w:val="781"/>
    <w:link w:val="780"/>
    <w:uiPriority w:val="99"/>
    <w:qFormat/>
    <w:rPr>
      <w:rFonts w:ascii="Times New Roman" w:hAnsi="Times New Roman" w:eastAsia="楷体_GB2312" w:cs="Times New Roman"/>
      <w:sz w:val="18"/>
      <w:szCs w:val="20"/>
    </w:rPr>
  </w:style>
  <w:style w:type="paragraph" w:styleId="782">
    <w:name w:val="寄信人地址"/>
    <w:basedOn w:val="723"/>
    <w:next w:val="782"/>
    <w:link w:val="723"/>
    <w:qFormat/>
    <w:rPr>
      <w:rFonts w:ascii="Arial" w:hAnsi="Arial" w:eastAsia="宋体"/>
      <w:sz w:val="24"/>
      <w:szCs w:val="24"/>
    </w:rPr>
  </w:style>
  <w:style w:type="paragraph" w:styleId="783">
    <w:name w:val="页眉"/>
    <w:basedOn w:val="723"/>
    <w:next w:val="783"/>
    <w:link w:val="784"/>
    <w:uiPriority w:val="99"/>
    <w:qFormat/>
    <w:pPr>
      <w:jc w:val="center"/>
      <w:tabs>
        <w:tab w:val="center" w:pos="4153" w:leader="none"/>
        <w:tab w:val="right" w:pos="8306" w:leader="none"/>
      </w:tabs>
      <w:pBdr>
        <w:bottom w:val="single" w:color="000000" w:sz="6" w:space="1"/>
      </w:pBdr>
    </w:pPr>
    <w:rPr>
      <w:sz w:val="18"/>
    </w:rPr>
  </w:style>
  <w:style w:type="character" w:styleId="784">
    <w:name w:val="页眉 字符"/>
    <w:next w:val="784"/>
    <w:link w:val="783"/>
    <w:uiPriority w:val="99"/>
    <w:qFormat/>
    <w:rPr>
      <w:rFonts w:ascii="Times New Roman" w:hAnsi="Times New Roman" w:eastAsia="楷体_GB2312" w:cs="Times New Roman"/>
      <w:sz w:val="18"/>
      <w:szCs w:val="20"/>
    </w:rPr>
  </w:style>
  <w:style w:type="paragraph" w:styleId="785">
    <w:name w:val="目录 1"/>
    <w:basedOn w:val="723"/>
    <w:next w:val="723"/>
    <w:link w:val="723"/>
    <w:uiPriority w:val="39"/>
    <w:qFormat/>
    <w:pPr>
      <w:jc w:val="left"/>
    </w:pPr>
    <w:rPr>
      <w:sz w:val="24"/>
    </w:rPr>
  </w:style>
  <w:style w:type="paragraph" w:styleId="786">
    <w:name w:val="目录 4"/>
    <w:basedOn w:val="723"/>
    <w:next w:val="723"/>
    <w:link w:val="723"/>
    <w:semiHidden/>
    <w:qFormat/>
    <w:pPr>
      <w:ind w:left="1260"/>
    </w:pPr>
  </w:style>
  <w:style w:type="paragraph" w:styleId="787">
    <w:name w:val="索引标题"/>
    <w:basedOn w:val="723"/>
    <w:next w:val="788"/>
    <w:link w:val="723"/>
    <w:semiHidden/>
    <w:qFormat/>
  </w:style>
  <w:style w:type="paragraph" w:styleId="788">
    <w:name w:val="索引 1"/>
    <w:basedOn w:val="723"/>
    <w:next w:val="723"/>
    <w:link w:val="723"/>
    <w:unhideWhenUsed/>
    <w:qFormat/>
  </w:style>
  <w:style w:type="paragraph" w:styleId="789">
    <w:name w:val="副标题"/>
    <w:basedOn w:val="723"/>
    <w:next w:val="723"/>
    <w:link w:val="790"/>
    <w:uiPriority w:val="11"/>
    <w:qFormat/>
    <w:pPr>
      <w:spacing w:before="200" w:after="200"/>
    </w:pPr>
    <w:rPr>
      <w:sz w:val="24"/>
      <w:szCs w:val="24"/>
    </w:rPr>
  </w:style>
  <w:style w:type="character" w:styleId="790">
    <w:name w:val="副标题 字符"/>
    <w:next w:val="790"/>
    <w:link w:val="789"/>
    <w:uiPriority w:val="11"/>
    <w:qFormat/>
    <w:rPr>
      <w:sz w:val="24"/>
      <w:szCs w:val="24"/>
    </w:rPr>
  </w:style>
  <w:style w:type="paragraph" w:styleId="791">
    <w:name w:val="列表"/>
    <w:basedOn w:val="723"/>
    <w:next w:val="791"/>
    <w:link w:val="723"/>
    <w:qFormat/>
    <w:pPr>
      <w:ind w:left="420" w:hanging="420"/>
    </w:pPr>
    <w:rPr>
      <w:rFonts w:eastAsia="宋体"/>
      <w:sz w:val="21"/>
      <w:szCs w:val="24"/>
    </w:rPr>
  </w:style>
  <w:style w:type="paragraph" w:styleId="792">
    <w:name w:val="脚注文本"/>
    <w:basedOn w:val="723"/>
    <w:next w:val="792"/>
    <w:link w:val="793"/>
    <w:semiHidden/>
    <w:qFormat/>
    <w:pPr>
      <w:jc w:val="left"/>
    </w:pPr>
    <w:rPr>
      <w:sz w:val="18"/>
    </w:rPr>
  </w:style>
  <w:style w:type="character" w:styleId="793">
    <w:name w:val="脚注文本 字符"/>
    <w:next w:val="793"/>
    <w:link w:val="792"/>
    <w:semiHidden/>
    <w:qFormat/>
    <w:rPr>
      <w:rFonts w:ascii="Times New Roman" w:hAnsi="Times New Roman" w:eastAsia="楷体_GB2312" w:cs="Times New Roman"/>
      <w:sz w:val="18"/>
      <w:szCs w:val="20"/>
    </w:rPr>
  </w:style>
  <w:style w:type="paragraph" w:styleId="794">
    <w:name w:val="目录 6"/>
    <w:basedOn w:val="723"/>
    <w:next w:val="723"/>
    <w:link w:val="723"/>
    <w:semiHidden/>
    <w:qFormat/>
    <w:pPr>
      <w:ind w:left="2100"/>
    </w:pPr>
  </w:style>
  <w:style w:type="paragraph" w:styleId="795">
    <w:name w:val="正文文本缩进 3"/>
    <w:basedOn w:val="723"/>
    <w:next w:val="795"/>
    <w:link w:val="796"/>
    <w:qFormat/>
    <w:pPr>
      <w:ind w:firstLine="617"/>
      <w:spacing w:line="360" w:lineRule="auto"/>
    </w:pPr>
    <w:rPr>
      <w:rFonts w:eastAsia="宋体"/>
      <w:sz w:val="24"/>
      <w:szCs w:val="24"/>
    </w:rPr>
  </w:style>
  <w:style w:type="character" w:styleId="796">
    <w:name w:val="正文文本缩进 3 字符"/>
    <w:next w:val="796"/>
    <w:link w:val="795"/>
    <w:qFormat/>
    <w:rPr>
      <w:rFonts w:ascii="Times New Roman" w:hAnsi="Times New Roman" w:eastAsia="宋体" w:cs="Times New Roman"/>
      <w:sz w:val="24"/>
      <w:szCs w:val="24"/>
    </w:rPr>
  </w:style>
  <w:style w:type="paragraph" w:styleId="797">
    <w:name w:val="索引 7"/>
    <w:basedOn w:val="723"/>
    <w:next w:val="723"/>
    <w:link w:val="723"/>
    <w:semiHidden/>
    <w:qFormat/>
    <w:pPr>
      <w:ind w:left="2520"/>
    </w:pPr>
  </w:style>
  <w:style w:type="paragraph" w:styleId="798">
    <w:name w:val="索引 9"/>
    <w:basedOn w:val="723"/>
    <w:next w:val="723"/>
    <w:link w:val="723"/>
    <w:semiHidden/>
    <w:qFormat/>
    <w:pPr>
      <w:ind w:left="3360"/>
    </w:pPr>
  </w:style>
  <w:style w:type="paragraph" w:styleId="799">
    <w:name w:val="图表目录"/>
    <w:basedOn w:val="723"/>
    <w:next w:val="723"/>
    <w:link w:val="723"/>
    <w:semiHidden/>
    <w:qFormat/>
    <w:pPr>
      <w:ind w:left="420" w:hanging="420"/>
      <w:jc w:val="left"/>
    </w:pPr>
    <w:rPr>
      <w:smallCaps/>
      <w:sz w:val="24"/>
    </w:rPr>
  </w:style>
  <w:style w:type="paragraph" w:styleId="800">
    <w:name w:val="目录 2"/>
    <w:basedOn w:val="723"/>
    <w:next w:val="723"/>
    <w:link w:val="723"/>
    <w:uiPriority w:val="39"/>
    <w:qFormat/>
    <w:pPr>
      <w:ind w:left="420"/>
    </w:pPr>
  </w:style>
  <w:style w:type="paragraph" w:styleId="801">
    <w:name w:val="目录 9"/>
    <w:basedOn w:val="723"/>
    <w:next w:val="723"/>
    <w:link w:val="723"/>
    <w:semiHidden/>
    <w:qFormat/>
    <w:pPr>
      <w:ind w:left="3360"/>
    </w:pPr>
  </w:style>
  <w:style w:type="paragraph" w:styleId="802">
    <w:name w:val="正文文本 2"/>
    <w:basedOn w:val="723"/>
    <w:next w:val="802"/>
    <w:link w:val="803"/>
    <w:qFormat/>
    <w:pPr>
      <w:jc w:val="center"/>
      <w:spacing w:line="360" w:lineRule="auto"/>
    </w:pPr>
    <w:rPr>
      <w:rFonts w:eastAsia="宋体"/>
      <w:color w:val="ff00ff"/>
      <w:sz w:val="20"/>
    </w:rPr>
  </w:style>
  <w:style w:type="character" w:styleId="803">
    <w:name w:val="正文文本 2 字符"/>
    <w:next w:val="803"/>
    <w:link w:val="802"/>
    <w:qFormat/>
    <w:rPr>
      <w:rFonts w:ascii="Times New Roman" w:hAnsi="Times New Roman" w:eastAsia="宋体" w:cs="Times New Roman"/>
      <w:color w:val="ff00ff"/>
      <w:sz w:val="20"/>
      <w:szCs w:val="20"/>
    </w:rPr>
  </w:style>
  <w:style w:type="paragraph" w:styleId="804">
    <w:name w:val="HTML 预设格式"/>
    <w:basedOn w:val="723"/>
    <w:next w:val="804"/>
    <w:link w:val="8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character" w:styleId="805">
    <w:name w:val="HTML 预设格式 字符"/>
    <w:next w:val="805"/>
    <w:link w:val="804"/>
    <w:qFormat/>
    <w:rPr>
      <w:rFonts w:ascii="黑体" w:hAnsi="Courier New" w:eastAsia="黑体" w:cs="楷体_GB2312"/>
      <w:sz w:val="20"/>
      <w:szCs w:val="20"/>
    </w:rPr>
  </w:style>
  <w:style w:type="paragraph" w:styleId="806">
    <w:name w:val="普通(网站)"/>
    <w:basedOn w:val="723"/>
    <w:next w:val="806"/>
    <w:link w:val="723"/>
    <w:uiPriority w:val="99"/>
    <w:qFormat/>
    <w:pPr>
      <w:jc w:val="left"/>
      <w:spacing w:before="100" w:beforeAutospacing="1" w:after="100" w:afterAutospacing="1"/>
    </w:pPr>
    <w:rPr>
      <w:rFonts w:ascii="Calibri" w:hAnsi="Calibri"/>
      <w:sz w:val="24"/>
      <w:szCs w:val="22"/>
    </w:rPr>
  </w:style>
  <w:style w:type="paragraph" w:styleId="807">
    <w:name w:val="索引 2"/>
    <w:basedOn w:val="723"/>
    <w:next w:val="723"/>
    <w:link w:val="723"/>
    <w:semiHidden/>
    <w:qFormat/>
    <w:pPr>
      <w:ind w:left="420"/>
    </w:pPr>
  </w:style>
  <w:style w:type="paragraph" w:styleId="808">
    <w:name w:val="标题"/>
    <w:basedOn w:val="723"/>
    <w:next w:val="723"/>
    <w:link w:val="809"/>
    <w:qFormat/>
    <w:pPr>
      <w:jc w:val="center"/>
      <w:spacing w:before="240" w:after="60"/>
      <w:outlineLvl w:val="0"/>
    </w:pPr>
    <w:rPr>
      <w:rFonts w:ascii="Cambria" w:hAnsi="Cambria" w:eastAsia="宋体"/>
      <w:b/>
      <w:bCs/>
      <w:sz w:val="32"/>
      <w:szCs w:val="32"/>
    </w:rPr>
  </w:style>
  <w:style w:type="character" w:styleId="809">
    <w:name w:val="标题 字符"/>
    <w:next w:val="809"/>
    <w:link w:val="808"/>
    <w:qFormat/>
    <w:rPr>
      <w:rFonts w:ascii="Cambria" w:hAnsi="Cambria" w:eastAsia="宋体" w:cs="Times New Roman"/>
      <w:b/>
      <w:bCs/>
      <w:sz w:val="32"/>
      <w:szCs w:val="32"/>
    </w:rPr>
  </w:style>
  <w:style w:type="paragraph" w:styleId="810">
    <w:name w:val="批注主题"/>
    <w:basedOn w:val="754"/>
    <w:next w:val="754"/>
    <w:link w:val="811"/>
    <w:uiPriority w:val="99"/>
    <w:qFormat/>
    <w:rPr>
      <w:b/>
      <w:bCs/>
    </w:rPr>
  </w:style>
  <w:style w:type="character" w:styleId="811">
    <w:name w:val="批注主题 字符"/>
    <w:next w:val="811"/>
    <w:link w:val="810"/>
    <w:uiPriority w:val="99"/>
    <w:qFormat/>
    <w:rPr>
      <w:rFonts w:ascii="Times New Roman" w:hAnsi="Times New Roman" w:eastAsia="楷体_GB2312" w:cs="Times New Roman"/>
      <w:b/>
      <w:bCs/>
      <w:sz w:val="26"/>
      <w:szCs w:val="20"/>
    </w:rPr>
  </w:style>
  <w:style w:type="paragraph" w:styleId="812">
    <w:name w:val="正文首行缩进"/>
    <w:basedOn w:val="759"/>
    <w:next w:val="812"/>
    <w:link w:val="813"/>
    <w:unhideWhenUsed/>
    <w:qFormat/>
    <w:pPr>
      <w:ind w:firstLine="420"/>
      <w:spacing w:after="120" w:line="240" w:lineRule="auto"/>
    </w:pPr>
    <w:rPr>
      <w:rFonts w:ascii="Times New Roman"/>
      <w:sz w:val="26"/>
    </w:rPr>
  </w:style>
  <w:style w:type="character" w:styleId="813">
    <w:name w:val="正文首行缩进 字符"/>
    <w:next w:val="813"/>
    <w:link w:val="812"/>
    <w:qFormat/>
    <w:rPr>
      <w:rFonts w:ascii="Times New Roman" w:hAnsi="Times New Roman" w:eastAsia="楷体_GB2312" w:cs="Times New Roman"/>
      <w:sz w:val="26"/>
      <w:szCs w:val="20"/>
    </w:rPr>
  </w:style>
  <w:style w:type="paragraph" w:styleId="814">
    <w:name w:val="正文首行缩进 2"/>
    <w:basedOn w:val="761"/>
    <w:next w:val="814"/>
    <w:link w:val="815"/>
    <w:uiPriority w:val="99"/>
    <w:unhideWhenUsed/>
    <w:qFormat/>
    <w:pPr>
      <w:ind w:firstLine="420"/>
    </w:pPr>
    <w:rPr>
      <w:rFonts w:cs="Times New Roman"/>
      <w:szCs w:val="21"/>
    </w:rPr>
  </w:style>
  <w:style w:type="character" w:styleId="815">
    <w:name w:val="正文首行缩进 2 字符"/>
    <w:next w:val="815"/>
    <w:link w:val="814"/>
    <w:uiPriority w:val="99"/>
    <w:qFormat/>
    <w:rPr>
      <w:rFonts w:ascii="方正仿宋简体" w:hAnsi="创艺简仿宋" w:eastAsia="方正仿宋简体"/>
      <w:sz w:val="24"/>
      <w:szCs w:val="21"/>
    </w:rPr>
  </w:style>
  <w:style w:type="table" w:styleId="816">
    <w:name w:val="网格型"/>
    <w:basedOn w:val="734"/>
    <w:next w:val="816"/>
    <w:link w:val="723"/>
    <w:uiPriority w:val="39"/>
    <w:qFormat/>
    <w:rPr>
      <w:rFonts w:ascii="Calibri" w:hAnsi="Calibri" w:eastAsia="宋体" w:cs="Times New Roman"/>
      <w:sz w:val="22"/>
    </w:rPr>
    <w:tblPr/>
  </w:style>
  <w:style w:type="character" w:styleId="817">
    <w:name w:val="要点"/>
    <w:next w:val="817"/>
    <w:link w:val="723"/>
    <w:qFormat/>
    <w:rPr>
      <w:b/>
    </w:rPr>
  </w:style>
  <w:style w:type="character" w:styleId="818">
    <w:name w:val="尾注引用"/>
    <w:next w:val="818"/>
    <w:link w:val="723"/>
    <w:qFormat/>
    <w:rPr>
      <w:vertAlign w:val="superscript"/>
    </w:rPr>
  </w:style>
  <w:style w:type="character" w:styleId="819">
    <w:name w:val="页码"/>
    <w:next w:val="819"/>
    <w:link w:val="723"/>
    <w:qFormat/>
  </w:style>
  <w:style w:type="character" w:styleId="820">
    <w:name w:val="访问过的超链接"/>
    <w:next w:val="820"/>
    <w:link w:val="723"/>
    <w:uiPriority w:val="99"/>
    <w:qFormat/>
    <w:rPr>
      <w:color w:val="800080"/>
      <w:u w:val="single"/>
    </w:rPr>
  </w:style>
  <w:style w:type="character" w:styleId="821">
    <w:name w:val="强调"/>
    <w:next w:val="821"/>
    <w:link w:val="723"/>
    <w:uiPriority w:val="20"/>
    <w:qFormat/>
    <w:rPr>
      <w:i/>
      <w:iCs/>
    </w:rPr>
  </w:style>
  <w:style w:type="character" w:styleId="822">
    <w:name w:val="HTML 打字机"/>
    <w:next w:val="822"/>
    <w:link w:val="723"/>
    <w:qFormat/>
    <w:rPr>
      <w:rFonts w:ascii="黑体" w:hAnsi="Courier New" w:eastAsia="黑体" w:cs="Courier New"/>
      <w:sz w:val="14"/>
      <w:szCs w:val="14"/>
    </w:rPr>
  </w:style>
  <w:style w:type="character" w:styleId="823">
    <w:name w:val="超链接"/>
    <w:next w:val="823"/>
    <w:link w:val="723"/>
    <w:uiPriority w:val="99"/>
    <w:unhideWhenUsed/>
    <w:qFormat/>
    <w:rPr>
      <w:color w:val="0000ff"/>
      <w:u w:val="single"/>
    </w:rPr>
  </w:style>
  <w:style w:type="character" w:styleId="824">
    <w:name w:val="批注引用"/>
    <w:next w:val="824"/>
    <w:link w:val="723"/>
    <w:uiPriority w:val="99"/>
    <w:qFormat/>
    <w:rPr>
      <w:sz w:val="21"/>
      <w:szCs w:val="21"/>
    </w:rPr>
  </w:style>
  <w:style w:type="character" w:styleId="825">
    <w:name w:val="脚注引用"/>
    <w:next w:val="825"/>
    <w:link w:val="723"/>
    <w:semiHidden/>
    <w:qFormat/>
    <w:rPr>
      <w:vertAlign w:val="superscript"/>
    </w:rPr>
  </w:style>
  <w:style w:type="character" w:styleId="826">
    <w:name w:val="Quote Char"/>
    <w:next w:val="826"/>
    <w:link w:val="723"/>
    <w:uiPriority w:val="29"/>
    <w:rPr>
      <w:i/>
    </w:rPr>
  </w:style>
  <w:style w:type="character" w:styleId="827">
    <w:name w:val="Intense Quote Char"/>
    <w:next w:val="827"/>
    <w:link w:val="723"/>
    <w:uiPriority w:val="30"/>
    <w:rPr>
      <w:i/>
    </w:rPr>
  </w:style>
  <w:style w:type="table" w:styleId="828">
    <w:name w:val="Plain Table 1"/>
    <w:basedOn w:val="734"/>
    <w:next w:val="828"/>
    <w:link w:val="723"/>
    <w:uiPriority w:val="59"/>
    <w:qFormat/>
    <w:pPr>
      <w:spacing w:after="0" w:line="240" w:lineRule="auto"/>
    </w:pPr>
    <w:tblPr/>
  </w:style>
  <w:style w:type="table" w:styleId="829">
    <w:name w:val="Plain Table 2"/>
    <w:basedOn w:val="734"/>
    <w:next w:val="829"/>
    <w:link w:val="723"/>
    <w:uiPriority w:val="59"/>
    <w:pPr>
      <w:spacing w:after="0" w:line="240" w:lineRule="auto"/>
    </w:pPr>
    <w:tblPr/>
  </w:style>
  <w:style w:type="table" w:styleId="830">
    <w:name w:val="Plain Table 3"/>
    <w:basedOn w:val="734"/>
    <w:next w:val="830"/>
    <w:link w:val="723"/>
    <w:uiPriority w:val="99"/>
    <w:pPr>
      <w:spacing w:after="0" w:line="240" w:lineRule="auto"/>
    </w:pPr>
    <w:tblPr/>
  </w:style>
  <w:style w:type="table" w:styleId="831">
    <w:name w:val="Plain Table 4"/>
    <w:basedOn w:val="734"/>
    <w:next w:val="831"/>
    <w:link w:val="723"/>
    <w:uiPriority w:val="99"/>
    <w:pPr>
      <w:spacing w:after="0" w:line="240" w:lineRule="auto"/>
    </w:pPr>
    <w:tblPr/>
  </w:style>
  <w:style w:type="table" w:styleId="832">
    <w:name w:val="Plain Table 5"/>
    <w:basedOn w:val="734"/>
    <w:next w:val="832"/>
    <w:link w:val="723"/>
    <w:uiPriority w:val="99"/>
    <w:qFormat/>
    <w:pPr>
      <w:spacing w:after="0" w:line="240" w:lineRule="auto"/>
    </w:pPr>
    <w:tblPr/>
  </w:style>
  <w:style w:type="table" w:styleId="833">
    <w:name w:val="Grid Table 1 Light"/>
    <w:basedOn w:val="734"/>
    <w:next w:val="833"/>
    <w:link w:val="723"/>
    <w:uiPriority w:val="99"/>
    <w:pPr>
      <w:spacing w:after="0" w:line="240" w:lineRule="auto"/>
    </w:pPr>
    <w:tblPr/>
  </w:style>
  <w:style w:type="table" w:styleId="834">
    <w:name w:val="Grid Table 2"/>
    <w:basedOn w:val="734"/>
    <w:next w:val="834"/>
    <w:link w:val="723"/>
    <w:uiPriority w:val="99"/>
    <w:qFormat/>
    <w:pPr>
      <w:spacing w:after="0" w:line="240" w:lineRule="auto"/>
    </w:pPr>
    <w:tblPr/>
  </w:style>
  <w:style w:type="table" w:styleId="835">
    <w:name w:val="Grid Table 3"/>
    <w:basedOn w:val="734"/>
    <w:next w:val="835"/>
    <w:link w:val="723"/>
    <w:uiPriority w:val="99"/>
    <w:pPr>
      <w:spacing w:after="0" w:line="240" w:lineRule="auto"/>
    </w:pPr>
    <w:tblPr/>
  </w:style>
  <w:style w:type="table" w:styleId="836">
    <w:name w:val="Grid Table 4"/>
    <w:basedOn w:val="734"/>
    <w:next w:val="836"/>
    <w:link w:val="723"/>
    <w:uiPriority w:val="59"/>
    <w:pPr>
      <w:spacing w:after="0" w:line="240" w:lineRule="auto"/>
    </w:pPr>
    <w:tblPr/>
  </w:style>
  <w:style w:type="table" w:styleId="837">
    <w:name w:val="Grid Table 5 Dark"/>
    <w:basedOn w:val="734"/>
    <w:next w:val="837"/>
    <w:link w:val="723"/>
    <w:uiPriority w:val="99"/>
    <w:qFormat/>
    <w:pPr>
      <w:spacing w:after="0" w:line="240" w:lineRule="auto"/>
    </w:pPr>
    <w:tblPr/>
  </w:style>
  <w:style w:type="table" w:styleId="838">
    <w:name w:val="Grid Table 6 Colorful"/>
    <w:basedOn w:val="734"/>
    <w:next w:val="838"/>
    <w:link w:val="723"/>
    <w:uiPriority w:val="99"/>
    <w:qFormat/>
    <w:pPr>
      <w:spacing w:after="0" w:line="240" w:lineRule="auto"/>
    </w:pPr>
    <w:tblPr/>
  </w:style>
  <w:style w:type="table" w:styleId="839">
    <w:name w:val="Grid Table 7 Colorful"/>
    <w:basedOn w:val="734"/>
    <w:next w:val="839"/>
    <w:link w:val="723"/>
    <w:uiPriority w:val="99"/>
    <w:qFormat/>
    <w:pPr>
      <w:spacing w:after="0" w:line="240" w:lineRule="auto"/>
    </w:pPr>
    <w:tblPr/>
  </w:style>
  <w:style w:type="table" w:styleId="840">
    <w:name w:val="List Table 1 Light"/>
    <w:basedOn w:val="734"/>
    <w:next w:val="840"/>
    <w:link w:val="723"/>
    <w:uiPriority w:val="99"/>
    <w:qFormat/>
    <w:pPr>
      <w:spacing w:after="0" w:line="240" w:lineRule="auto"/>
    </w:pPr>
    <w:tblPr/>
  </w:style>
  <w:style w:type="table" w:styleId="841">
    <w:name w:val="List Table 2"/>
    <w:basedOn w:val="734"/>
    <w:next w:val="841"/>
    <w:link w:val="723"/>
    <w:uiPriority w:val="99"/>
    <w:qFormat/>
    <w:pPr>
      <w:spacing w:after="0" w:line="240" w:lineRule="auto"/>
    </w:pPr>
    <w:tblPr/>
  </w:style>
  <w:style w:type="table" w:styleId="842">
    <w:name w:val="List Table 3"/>
    <w:basedOn w:val="734"/>
    <w:next w:val="842"/>
    <w:link w:val="723"/>
    <w:uiPriority w:val="99"/>
    <w:qFormat/>
    <w:pPr>
      <w:spacing w:after="0" w:line="240" w:lineRule="auto"/>
    </w:pPr>
    <w:tblPr/>
  </w:style>
  <w:style w:type="table" w:styleId="843">
    <w:name w:val="List Table 4"/>
    <w:basedOn w:val="734"/>
    <w:next w:val="843"/>
    <w:link w:val="723"/>
    <w:uiPriority w:val="99"/>
    <w:qFormat/>
    <w:pPr>
      <w:spacing w:after="0" w:line="240" w:lineRule="auto"/>
    </w:pPr>
    <w:tblPr/>
  </w:style>
  <w:style w:type="table" w:styleId="844">
    <w:name w:val="List Table 5 Dark"/>
    <w:basedOn w:val="734"/>
    <w:next w:val="844"/>
    <w:link w:val="723"/>
    <w:uiPriority w:val="99"/>
    <w:qFormat/>
    <w:pPr>
      <w:spacing w:after="0" w:line="240" w:lineRule="auto"/>
    </w:pPr>
    <w:tblPr/>
  </w:style>
  <w:style w:type="table" w:styleId="845">
    <w:name w:val="List Table 6 Colorful"/>
    <w:basedOn w:val="734"/>
    <w:next w:val="845"/>
    <w:link w:val="723"/>
    <w:uiPriority w:val="99"/>
    <w:qFormat/>
    <w:pPr>
      <w:spacing w:after="0" w:line="240" w:lineRule="auto"/>
    </w:pPr>
    <w:tblPr/>
  </w:style>
  <w:style w:type="table" w:styleId="846">
    <w:name w:val="List Table 7 Colorful"/>
    <w:basedOn w:val="734"/>
    <w:next w:val="846"/>
    <w:link w:val="723"/>
    <w:uiPriority w:val="99"/>
    <w:qFormat/>
    <w:pPr>
      <w:spacing w:after="0" w:line="240" w:lineRule="auto"/>
    </w:pPr>
    <w:tblPr/>
  </w:style>
  <w:style w:type="paragraph" w:styleId="847">
    <w:name w:val="TOC Heading"/>
    <w:next w:val="847"/>
    <w:link w:val="723"/>
    <w:uiPriority w:val="39"/>
    <w:unhideWhenUsed/>
    <w:qFormat/>
    <w:rPr>
      <w:lang w:val="en-US" w:eastAsia="zh-CN" w:bidi="ar-SA"/>
    </w:rPr>
  </w:style>
  <w:style w:type="paragraph" w:styleId="848">
    <w:name w:val="列出段落"/>
    <w:basedOn w:val="723"/>
    <w:next w:val="848"/>
    <w:link w:val="723"/>
    <w:uiPriority w:val="34"/>
    <w:qFormat/>
    <w:pPr>
      <w:contextualSpacing/>
      <w:ind w:left="720"/>
    </w:pPr>
  </w:style>
  <w:style w:type="paragraph" w:styleId="849">
    <w:name w:val="无间隔"/>
    <w:next w:val="849"/>
    <w:link w:val="723"/>
    <w:uiPriority w:val="1"/>
    <w:qFormat/>
    <w:rPr>
      <w:lang w:val="en-US" w:eastAsia="zh-CN" w:bidi="ar-SA"/>
    </w:rPr>
  </w:style>
  <w:style w:type="paragraph" w:styleId="850">
    <w:name w:val="引用"/>
    <w:basedOn w:val="723"/>
    <w:next w:val="723"/>
    <w:link w:val="851"/>
    <w:uiPriority w:val="29"/>
    <w:qFormat/>
    <w:pPr>
      <w:ind w:left="720" w:right="720"/>
    </w:pPr>
    <w:rPr>
      <w:i/>
    </w:rPr>
  </w:style>
  <w:style w:type="character" w:styleId="851">
    <w:name w:val="引用 字符1"/>
    <w:next w:val="851"/>
    <w:link w:val="850"/>
    <w:uiPriority w:val="29"/>
    <w:qFormat/>
    <w:rPr>
      <w:i/>
    </w:rPr>
  </w:style>
  <w:style w:type="paragraph" w:styleId="852">
    <w:name w:val="明显引用"/>
    <w:basedOn w:val="723"/>
    <w:next w:val="723"/>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明显引用 字符1"/>
    <w:next w:val="853"/>
    <w:link w:val="852"/>
    <w:uiPriority w:val="30"/>
    <w:qFormat/>
    <w:rPr>
      <w:i/>
    </w:rPr>
  </w:style>
  <w:style w:type="table" w:styleId="854">
    <w:name w:val="无格式表格 11"/>
    <w:basedOn w:val="734"/>
    <w:next w:val="854"/>
    <w:link w:val="723"/>
    <w:uiPriority w:val="59"/>
    <w:qFormat/>
    <w:tblPr/>
  </w:style>
  <w:style w:type="table" w:styleId="855">
    <w:name w:val="无格式表格 21"/>
    <w:basedOn w:val="734"/>
    <w:next w:val="855"/>
    <w:link w:val="723"/>
    <w:uiPriority w:val="59"/>
    <w:qFormat/>
    <w:tblPr/>
  </w:style>
  <w:style w:type="table" w:styleId="856">
    <w:name w:val="无格式表格 31"/>
    <w:basedOn w:val="734"/>
    <w:next w:val="856"/>
    <w:link w:val="723"/>
    <w:uiPriority w:val="99"/>
    <w:qFormat/>
    <w:tblPr/>
  </w:style>
  <w:style w:type="table" w:styleId="857">
    <w:name w:val="无格式表格 41"/>
    <w:basedOn w:val="734"/>
    <w:next w:val="857"/>
    <w:link w:val="723"/>
    <w:uiPriority w:val="99"/>
    <w:qFormat/>
    <w:tblPr/>
  </w:style>
  <w:style w:type="table" w:styleId="858">
    <w:name w:val="无格式表格 51"/>
    <w:basedOn w:val="734"/>
    <w:next w:val="858"/>
    <w:link w:val="723"/>
    <w:uiPriority w:val="99"/>
    <w:qFormat/>
    <w:tblPr/>
  </w:style>
  <w:style w:type="table" w:styleId="859">
    <w:name w:val="网格表 1 浅色1"/>
    <w:basedOn w:val="734"/>
    <w:next w:val="859"/>
    <w:link w:val="723"/>
    <w:uiPriority w:val="99"/>
    <w:qFormat/>
    <w:tblPr/>
  </w:style>
  <w:style w:type="table" w:styleId="860">
    <w:name w:val="网格表 21"/>
    <w:basedOn w:val="734"/>
    <w:next w:val="860"/>
    <w:link w:val="723"/>
    <w:uiPriority w:val="99"/>
    <w:qFormat/>
    <w:tblPr/>
  </w:style>
  <w:style w:type="table" w:styleId="861">
    <w:name w:val="网格表 31"/>
    <w:basedOn w:val="734"/>
    <w:next w:val="861"/>
    <w:link w:val="723"/>
    <w:uiPriority w:val="99"/>
    <w:qFormat/>
    <w:tblPr/>
  </w:style>
  <w:style w:type="table" w:styleId="862">
    <w:name w:val="网格表 41"/>
    <w:basedOn w:val="734"/>
    <w:next w:val="862"/>
    <w:link w:val="723"/>
    <w:uiPriority w:val="59"/>
    <w:qFormat/>
    <w:tblPr/>
  </w:style>
  <w:style w:type="table" w:styleId="863">
    <w:name w:val="网格表 5 深色1"/>
    <w:basedOn w:val="734"/>
    <w:next w:val="863"/>
    <w:link w:val="723"/>
    <w:uiPriority w:val="99"/>
    <w:qFormat/>
    <w:tblPr/>
  </w:style>
  <w:style w:type="table" w:styleId="864">
    <w:name w:val="网格表 6 彩色1"/>
    <w:basedOn w:val="734"/>
    <w:next w:val="864"/>
    <w:link w:val="723"/>
    <w:uiPriority w:val="99"/>
    <w:qFormat/>
    <w:tblPr/>
  </w:style>
  <w:style w:type="table" w:styleId="865">
    <w:name w:val="网格表 7 彩色1"/>
    <w:basedOn w:val="734"/>
    <w:next w:val="865"/>
    <w:link w:val="723"/>
    <w:uiPriority w:val="99"/>
    <w:qFormat/>
    <w:tblPr/>
  </w:style>
  <w:style w:type="table" w:styleId="866">
    <w:name w:val="清单表 1 浅色1"/>
    <w:basedOn w:val="734"/>
    <w:next w:val="866"/>
    <w:link w:val="723"/>
    <w:uiPriority w:val="99"/>
    <w:qFormat/>
    <w:tblPr/>
  </w:style>
  <w:style w:type="table" w:styleId="867">
    <w:name w:val="清单表 21"/>
    <w:basedOn w:val="734"/>
    <w:next w:val="867"/>
    <w:link w:val="723"/>
    <w:uiPriority w:val="99"/>
    <w:qFormat/>
    <w:tblPr/>
  </w:style>
  <w:style w:type="table" w:styleId="868">
    <w:name w:val="清单表 31"/>
    <w:basedOn w:val="734"/>
    <w:next w:val="868"/>
    <w:link w:val="723"/>
    <w:uiPriority w:val="99"/>
    <w:qFormat/>
    <w:tblPr/>
  </w:style>
  <w:style w:type="table" w:styleId="869">
    <w:name w:val="清单表 41"/>
    <w:basedOn w:val="734"/>
    <w:next w:val="869"/>
    <w:link w:val="723"/>
    <w:uiPriority w:val="99"/>
    <w:qFormat/>
    <w:tblPr/>
  </w:style>
  <w:style w:type="table" w:styleId="870">
    <w:name w:val="清单表 5 深色1"/>
    <w:basedOn w:val="734"/>
    <w:next w:val="870"/>
    <w:link w:val="723"/>
    <w:uiPriority w:val="99"/>
    <w:qFormat/>
    <w:tblPr/>
  </w:style>
  <w:style w:type="table" w:styleId="871">
    <w:name w:val="清单表 6 彩色1"/>
    <w:basedOn w:val="734"/>
    <w:next w:val="871"/>
    <w:link w:val="723"/>
    <w:uiPriority w:val="99"/>
    <w:qFormat/>
    <w:tblPr/>
  </w:style>
  <w:style w:type="table" w:styleId="872">
    <w:name w:val="清单表 7 彩色1"/>
    <w:basedOn w:val="734"/>
    <w:next w:val="872"/>
    <w:link w:val="723"/>
    <w:uiPriority w:val="99"/>
    <w:qFormat/>
    <w:tblPr/>
  </w:style>
  <w:style w:type="paragraph" w:styleId="873">
    <w:name w:val="TOC 标题1"/>
    <w:next w:val="873"/>
    <w:link w:val="723"/>
    <w:uiPriority w:val="39"/>
    <w:unhideWhenUsed/>
    <w:qFormat/>
    <w:rPr>
      <w:lang w:val="en-US" w:eastAsia="zh-CN" w:bidi="ar-SA"/>
    </w:rPr>
  </w:style>
  <w:style w:type="character" w:styleId="874">
    <w:name w:val="Subtitle Char"/>
    <w:next w:val="874"/>
    <w:link w:val="723"/>
    <w:uiPriority w:val="11"/>
    <w:qFormat/>
    <w:rPr>
      <w:sz w:val="24"/>
      <w:szCs w:val="24"/>
    </w:rPr>
  </w:style>
  <w:style w:type="paragraph" w:styleId="875">
    <w:name w:val="TOC 标题112"/>
    <w:next w:val="875"/>
    <w:link w:val="723"/>
    <w:uiPriority w:val="39"/>
    <w:unhideWhenUsed/>
    <w:qFormat/>
    <w:rPr>
      <w:lang w:val="en-US" w:eastAsia="zh-CN" w:bidi="ar-SA"/>
    </w:rPr>
  </w:style>
  <w:style w:type="character" w:styleId="876">
    <w:name w:val="Heading 1 Char"/>
    <w:next w:val="876"/>
    <w:link w:val="723"/>
    <w:uiPriority w:val="9"/>
    <w:qFormat/>
    <w:rPr>
      <w:rFonts w:ascii="Arial" w:hAnsi="Arial" w:eastAsia="Arial" w:cs="Arial"/>
      <w:sz w:val="40"/>
      <w:szCs w:val="40"/>
    </w:rPr>
  </w:style>
  <w:style w:type="character" w:styleId="877">
    <w:name w:val="Heading 2 Char"/>
    <w:next w:val="877"/>
    <w:link w:val="723"/>
    <w:uiPriority w:val="9"/>
    <w:qFormat/>
    <w:rPr>
      <w:rFonts w:ascii="Arial" w:hAnsi="Arial" w:eastAsia="Arial" w:cs="Arial"/>
      <w:sz w:val="34"/>
    </w:rPr>
  </w:style>
  <w:style w:type="character" w:styleId="878">
    <w:name w:val="Heading 3 Char"/>
    <w:next w:val="878"/>
    <w:link w:val="723"/>
    <w:uiPriority w:val="9"/>
    <w:qFormat/>
    <w:rPr>
      <w:rFonts w:ascii="Arial" w:hAnsi="Arial" w:eastAsia="Arial" w:cs="Arial"/>
      <w:sz w:val="30"/>
      <w:szCs w:val="30"/>
    </w:rPr>
  </w:style>
  <w:style w:type="character" w:styleId="879">
    <w:name w:val="Heading 4 Char"/>
    <w:next w:val="879"/>
    <w:link w:val="723"/>
    <w:uiPriority w:val="9"/>
    <w:qFormat/>
    <w:rPr>
      <w:rFonts w:ascii="Arial" w:hAnsi="Arial" w:eastAsia="Arial" w:cs="Arial"/>
      <w:b/>
      <w:bCs/>
      <w:sz w:val="26"/>
      <w:szCs w:val="26"/>
    </w:rPr>
  </w:style>
  <w:style w:type="character" w:styleId="880">
    <w:name w:val="Heading 5 Char"/>
    <w:next w:val="880"/>
    <w:link w:val="723"/>
    <w:uiPriority w:val="9"/>
    <w:qFormat/>
    <w:rPr>
      <w:rFonts w:ascii="Arial" w:hAnsi="Arial" w:eastAsia="Arial" w:cs="Arial"/>
      <w:b/>
      <w:bCs/>
      <w:sz w:val="24"/>
      <w:szCs w:val="24"/>
    </w:rPr>
  </w:style>
  <w:style w:type="character" w:styleId="881">
    <w:name w:val="Heading 6 Char"/>
    <w:next w:val="881"/>
    <w:link w:val="723"/>
    <w:uiPriority w:val="9"/>
    <w:qFormat/>
    <w:rPr>
      <w:rFonts w:ascii="Arial" w:hAnsi="Arial" w:eastAsia="Arial" w:cs="Arial"/>
      <w:b/>
      <w:bCs/>
      <w:sz w:val="22"/>
      <w:szCs w:val="22"/>
    </w:rPr>
  </w:style>
  <w:style w:type="character" w:styleId="882">
    <w:name w:val="Heading 7 Char"/>
    <w:next w:val="882"/>
    <w:link w:val="723"/>
    <w:uiPriority w:val="9"/>
    <w:qFormat/>
    <w:rPr>
      <w:rFonts w:ascii="Arial" w:hAnsi="Arial" w:eastAsia="Arial" w:cs="Arial"/>
      <w:b/>
      <w:bCs/>
      <w:i/>
      <w:iCs/>
      <w:sz w:val="22"/>
      <w:szCs w:val="22"/>
    </w:rPr>
  </w:style>
  <w:style w:type="character" w:styleId="883">
    <w:name w:val="Heading 8 Char"/>
    <w:next w:val="883"/>
    <w:link w:val="723"/>
    <w:uiPriority w:val="9"/>
    <w:qFormat/>
    <w:rPr>
      <w:rFonts w:ascii="Arial" w:hAnsi="Arial" w:eastAsia="Arial" w:cs="Arial"/>
      <w:i/>
      <w:iCs/>
      <w:sz w:val="22"/>
      <w:szCs w:val="22"/>
    </w:rPr>
  </w:style>
  <w:style w:type="character" w:styleId="884">
    <w:name w:val="Heading 9 Char"/>
    <w:next w:val="884"/>
    <w:link w:val="723"/>
    <w:uiPriority w:val="9"/>
    <w:qFormat/>
    <w:rPr>
      <w:rFonts w:ascii="Arial" w:hAnsi="Arial" w:eastAsia="Arial" w:cs="Arial"/>
      <w:i/>
      <w:iCs/>
      <w:sz w:val="21"/>
      <w:szCs w:val="21"/>
    </w:rPr>
  </w:style>
  <w:style w:type="paragraph" w:styleId="885">
    <w:name w:val="无间隔1"/>
    <w:next w:val="885"/>
    <w:link w:val="723"/>
    <w:uiPriority w:val="1"/>
    <w:qFormat/>
    <w:rPr>
      <w:lang w:val="en-US" w:eastAsia="zh-CN" w:bidi="ar-SA"/>
    </w:rPr>
  </w:style>
  <w:style w:type="character" w:styleId="886">
    <w:name w:val="Title Char"/>
    <w:next w:val="886"/>
    <w:link w:val="723"/>
    <w:uiPriority w:val="10"/>
    <w:qFormat/>
    <w:rPr>
      <w:sz w:val="48"/>
      <w:szCs w:val="48"/>
    </w:rPr>
  </w:style>
  <w:style w:type="paragraph" w:styleId="887">
    <w:name w:val="引用1"/>
    <w:basedOn w:val="723"/>
    <w:next w:val="723"/>
    <w:link w:val="888"/>
    <w:uiPriority w:val="29"/>
    <w:qFormat/>
    <w:pPr>
      <w:ind w:left="720" w:right="720"/>
    </w:pPr>
    <w:rPr>
      <w:i/>
    </w:rPr>
  </w:style>
  <w:style w:type="character" w:styleId="888">
    <w:name w:val="引用 字符"/>
    <w:next w:val="888"/>
    <w:link w:val="887"/>
    <w:uiPriority w:val="29"/>
    <w:qFormat/>
    <w:rPr>
      <w:i/>
    </w:rPr>
  </w:style>
  <w:style w:type="paragraph" w:styleId="889">
    <w:name w:val="明显引用1"/>
    <w:basedOn w:val="723"/>
    <w:next w:val="723"/>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name w:val="明显引用 字符"/>
    <w:next w:val="890"/>
    <w:link w:val="889"/>
    <w:uiPriority w:val="30"/>
    <w:qFormat/>
    <w:rPr>
      <w:i/>
    </w:rPr>
  </w:style>
  <w:style w:type="character" w:styleId="891">
    <w:name w:val="Header Char"/>
    <w:next w:val="891"/>
    <w:link w:val="723"/>
    <w:uiPriority w:val="99"/>
    <w:qFormat/>
  </w:style>
  <w:style w:type="character" w:styleId="892">
    <w:name w:val="Footer Char"/>
    <w:next w:val="892"/>
    <w:link w:val="723"/>
    <w:uiPriority w:val="99"/>
    <w:qFormat/>
  </w:style>
  <w:style w:type="character" w:styleId="893">
    <w:name w:val="Caption Char"/>
    <w:next w:val="893"/>
    <w:link w:val="723"/>
    <w:uiPriority w:val="99"/>
    <w:qFormat/>
  </w:style>
  <w:style w:type="table" w:styleId="894">
    <w:name w:val="Table Grid Light"/>
    <w:basedOn w:val="734"/>
    <w:next w:val="894"/>
    <w:link w:val="723"/>
    <w:uiPriority w:val="59"/>
    <w:qFormat/>
    <w:tblPr/>
  </w:style>
  <w:style w:type="table" w:styleId="895">
    <w:name w:val="Grid Table 1 Light - Accent 1"/>
    <w:basedOn w:val="734"/>
    <w:next w:val="895"/>
    <w:link w:val="723"/>
    <w:uiPriority w:val="99"/>
    <w:qFormat/>
    <w:tblPr/>
  </w:style>
  <w:style w:type="table" w:styleId="896">
    <w:name w:val="Grid Table 1 Light - Accent 2"/>
    <w:basedOn w:val="734"/>
    <w:next w:val="896"/>
    <w:link w:val="723"/>
    <w:uiPriority w:val="99"/>
    <w:qFormat/>
    <w:tblPr/>
  </w:style>
  <w:style w:type="table" w:styleId="897">
    <w:name w:val="Grid Table 1 Light - Accent 3"/>
    <w:basedOn w:val="734"/>
    <w:next w:val="897"/>
    <w:link w:val="723"/>
    <w:uiPriority w:val="99"/>
    <w:qFormat/>
    <w:tblPr/>
  </w:style>
  <w:style w:type="table" w:styleId="898">
    <w:name w:val="Grid Table 1 Light - Accent 4"/>
    <w:basedOn w:val="734"/>
    <w:next w:val="898"/>
    <w:link w:val="723"/>
    <w:uiPriority w:val="99"/>
    <w:qFormat/>
    <w:tblPr/>
  </w:style>
  <w:style w:type="table" w:styleId="899">
    <w:name w:val="Grid Table 1 Light - Accent 5"/>
    <w:basedOn w:val="734"/>
    <w:next w:val="899"/>
    <w:link w:val="723"/>
    <w:uiPriority w:val="99"/>
    <w:qFormat/>
    <w:tblPr/>
  </w:style>
  <w:style w:type="table" w:styleId="900">
    <w:name w:val="Grid Table 1 Light - Accent 6"/>
    <w:basedOn w:val="734"/>
    <w:next w:val="900"/>
    <w:link w:val="723"/>
    <w:uiPriority w:val="99"/>
    <w:qFormat/>
    <w:tblPr/>
  </w:style>
  <w:style w:type="table" w:styleId="901">
    <w:name w:val="Grid Table 2 - Accent 1"/>
    <w:basedOn w:val="734"/>
    <w:next w:val="901"/>
    <w:link w:val="723"/>
    <w:uiPriority w:val="99"/>
    <w:qFormat/>
    <w:tblPr/>
  </w:style>
  <w:style w:type="table" w:styleId="902">
    <w:name w:val="Grid Table 2 - Accent 2"/>
    <w:basedOn w:val="734"/>
    <w:next w:val="902"/>
    <w:link w:val="723"/>
    <w:uiPriority w:val="99"/>
    <w:qFormat/>
    <w:tblPr/>
  </w:style>
  <w:style w:type="table" w:styleId="903">
    <w:name w:val="Grid Table 2 - Accent 3"/>
    <w:basedOn w:val="734"/>
    <w:next w:val="903"/>
    <w:link w:val="723"/>
    <w:uiPriority w:val="99"/>
    <w:qFormat/>
    <w:tblPr/>
  </w:style>
  <w:style w:type="table" w:styleId="904">
    <w:name w:val="Grid Table 2 - Accent 4"/>
    <w:basedOn w:val="734"/>
    <w:next w:val="904"/>
    <w:link w:val="723"/>
    <w:uiPriority w:val="99"/>
    <w:qFormat/>
    <w:tblPr/>
  </w:style>
  <w:style w:type="table" w:styleId="905">
    <w:name w:val="Grid Table 2 - Accent 5"/>
    <w:basedOn w:val="734"/>
    <w:next w:val="905"/>
    <w:link w:val="723"/>
    <w:uiPriority w:val="99"/>
    <w:qFormat/>
    <w:tblPr/>
  </w:style>
  <w:style w:type="table" w:styleId="906">
    <w:name w:val="Grid Table 2 - Accent 6"/>
    <w:basedOn w:val="734"/>
    <w:next w:val="906"/>
    <w:link w:val="723"/>
    <w:uiPriority w:val="99"/>
    <w:qFormat/>
    <w:tblPr/>
  </w:style>
  <w:style w:type="table" w:styleId="907">
    <w:name w:val="Grid Table 3 - Accent 1"/>
    <w:basedOn w:val="734"/>
    <w:next w:val="907"/>
    <w:link w:val="723"/>
    <w:uiPriority w:val="99"/>
    <w:qFormat/>
    <w:tblPr/>
  </w:style>
  <w:style w:type="table" w:styleId="908">
    <w:name w:val="Grid Table 3 - Accent 2"/>
    <w:basedOn w:val="734"/>
    <w:next w:val="908"/>
    <w:link w:val="723"/>
    <w:uiPriority w:val="99"/>
    <w:qFormat/>
    <w:tblPr/>
  </w:style>
  <w:style w:type="table" w:styleId="909">
    <w:name w:val="Grid Table 3 - Accent 3"/>
    <w:basedOn w:val="734"/>
    <w:next w:val="909"/>
    <w:link w:val="723"/>
    <w:uiPriority w:val="99"/>
    <w:qFormat/>
    <w:tblPr/>
  </w:style>
  <w:style w:type="table" w:styleId="910">
    <w:name w:val="Grid Table 3 - Accent 4"/>
    <w:basedOn w:val="734"/>
    <w:next w:val="910"/>
    <w:link w:val="723"/>
    <w:uiPriority w:val="99"/>
    <w:qFormat/>
    <w:tblPr/>
  </w:style>
  <w:style w:type="table" w:styleId="911">
    <w:name w:val="Grid Table 3 - Accent 5"/>
    <w:basedOn w:val="734"/>
    <w:next w:val="911"/>
    <w:link w:val="723"/>
    <w:uiPriority w:val="99"/>
    <w:qFormat/>
    <w:tblPr/>
  </w:style>
  <w:style w:type="table" w:styleId="912">
    <w:name w:val="Grid Table 3 - Accent 6"/>
    <w:basedOn w:val="734"/>
    <w:next w:val="912"/>
    <w:link w:val="723"/>
    <w:uiPriority w:val="99"/>
    <w:qFormat/>
    <w:tblPr/>
  </w:style>
  <w:style w:type="table" w:styleId="913">
    <w:name w:val="Grid Table 4 - Accent 1"/>
    <w:basedOn w:val="734"/>
    <w:next w:val="913"/>
    <w:link w:val="723"/>
    <w:uiPriority w:val="59"/>
    <w:qFormat/>
    <w:tblPr/>
  </w:style>
  <w:style w:type="table" w:styleId="914">
    <w:name w:val="Grid Table 4 - Accent 2"/>
    <w:basedOn w:val="734"/>
    <w:next w:val="914"/>
    <w:link w:val="723"/>
    <w:uiPriority w:val="59"/>
    <w:qFormat/>
    <w:tblPr/>
  </w:style>
  <w:style w:type="table" w:styleId="915">
    <w:name w:val="Grid Table 4 - Accent 3"/>
    <w:basedOn w:val="734"/>
    <w:next w:val="915"/>
    <w:link w:val="723"/>
    <w:uiPriority w:val="59"/>
    <w:qFormat/>
    <w:tblPr/>
  </w:style>
  <w:style w:type="table" w:styleId="916">
    <w:name w:val="Grid Table 4 - Accent 4"/>
    <w:basedOn w:val="734"/>
    <w:next w:val="916"/>
    <w:link w:val="723"/>
    <w:uiPriority w:val="59"/>
    <w:qFormat/>
    <w:tblPr/>
  </w:style>
  <w:style w:type="table" w:styleId="917">
    <w:name w:val="Grid Table 4 - Accent 5"/>
    <w:basedOn w:val="734"/>
    <w:next w:val="917"/>
    <w:link w:val="723"/>
    <w:uiPriority w:val="59"/>
    <w:qFormat/>
    <w:tblPr/>
  </w:style>
  <w:style w:type="table" w:styleId="918">
    <w:name w:val="Grid Table 4 - Accent 6"/>
    <w:basedOn w:val="734"/>
    <w:next w:val="918"/>
    <w:link w:val="723"/>
    <w:uiPriority w:val="59"/>
    <w:qFormat/>
    <w:tblPr/>
  </w:style>
  <w:style w:type="table" w:styleId="919">
    <w:name w:val="Grid Table 5 Dark- Accent 1"/>
    <w:basedOn w:val="734"/>
    <w:next w:val="919"/>
    <w:link w:val="723"/>
    <w:uiPriority w:val="99"/>
    <w:qFormat/>
    <w:tblPr/>
  </w:style>
  <w:style w:type="table" w:styleId="920">
    <w:name w:val="Grid Table 5 Dark - Accent 2"/>
    <w:basedOn w:val="734"/>
    <w:next w:val="920"/>
    <w:link w:val="723"/>
    <w:uiPriority w:val="99"/>
    <w:qFormat/>
    <w:tblPr/>
  </w:style>
  <w:style w:type="table" w:styleId="921">
    <w:name w:val="Grid Table 5 Dark - Accent 3"/>
    <w:basedOn w:val="734"/>
    <w:next w:val="921"/>
    <w:link w:val="723"/>
    <w:uiPriority w:val="99"/>
    <w:qFormat/>
    <w:tblPr/>
  </w:style>
  <w:style w:type="table" w:styleId="922">
    <w:name w:val="Grid Table 5 Dark- Accent 4"/>
    <w:basedOn w:val="734"/>
    <w:next w:val="922"/>
    <w:link w:val="723"/>
    <w:uiPriority w:val="99"/>
    <w:qFormat/>
    <w:tblPr/>
  </w:style>
  <w:style w:type="table" w:styleId="923">
    <w:name w:val="Grid Table 5 Dark - Accent 5"/>
    <w:basedOn w:val="734"/>
    <w:next w:val="923"/>
    <w:link w:val="723"/>
    <w:uiPriority w:val="99"/>
    <w:qFormat/>
    <w:tblPr/>
  </w:style>
  <w:style w:type="table" w:styleId="924">
    <w:name w:val="Grid Table 5 Dark - Accent 6"/>
    <w:basedOn w:val="734"/>
    <w:next w:val="924"/>
    <w:link w:val="723"/>
    <w:uiPriority w:val="99"/>
    <w:qFormat/>
    <w:tblPr/>
  </w:style>
  <w:style w:type="table" w:styleId="925">
    <w:name w:val="Grid Table 6 Colorful - Accent 1"/>
    <w:basedOn w:val="734"/>
    <w:next w:val="925"/>
    <w:link w:val="723"/>
    <w:uiPriority w:val="99"/>
    <w:qFormat/>
    <w:tblPr/>
  </w:style>
  <w:style w:type="table" w:styleId="926">
    <w:name w:val="Grid Table 6 Colorful - Accent 2"/>
    <w:basedOn w:val="734"/>
    <w:next w:val="926"/>
    <w:link w:val="723"/>
    <w:uiPriority w:val="99"/>
    <w:qFormat/>
    <w:tblPr/>
  </w:style>
  <w:style w:type="table" w:styleId="927">
    <w:name w:val="Grid Table 6 Colorful - Accent 3"/>
    <w:basedOn w:val="734"/>
    <w:next w:val="927"/>
    <w:link w:val="723"/>
    <w:uiPriority w:val="99"/>
    <w:qFormat/>
    <w:tblPr/>
  </w:style>
  <w:style w:type="table" w:styleId="928">
    <w:name w:val="Grid Table 6 Colorful - Accent 4"/>
    <w:basedOn w:val="734"/>
    <w:next w:val="928"/>
    <w:link w:val="723"/>
    <w:uiPriority w:val="99"/>
    <w:qFormat/>
    <w:tblPr/>
  </w:style>
  <w:style w:type="table" w:styleId="929">
    <w:name w:val="Grid Table 6 Colorful - Accent 5"/>
    <w:basedOn w:val="734"/>
    <w:next w:val="929"/>
    <w:link w:val="723"/>
    <w:uiPriority w:val="99"/>
    <w:qFormat/>
    <w:tblPr/>
  </w:style>
  <w:style w:type="table" w:styleId="930">
    <w:name w:val="Grid Table 6 Colorful - Accent 6"/>
    <w:basedOn w:val="734"/>
    <w:next w:val="930"/>
    <w:link w:val="723"/>
    <w:uiPriority w:val="99"/>
    <w:qFormat/>
    <w:tblPr/>
  </w:style>
  <w:style w:type="table" w:styleId="931">
    <w:name w:val="Grid Table 7 Colorful - Accent 1"/>
    <w:basedOn w:val="734"/>
    <w:next w:val="931"/>
    <w:link w:val="723"/>
    <w:uiPriority w:val="99"/>
    <w:qFormat/>
    <w:tblPr/>
  </w:style>
  <w:style w:type="table" w:styleId="932">
    <w:name w:val="Grid Table 7 Colorful - Accent 2"/>
    <w:basedOn w:val="734"/>
    <w:next w:val="932"/>
    <w:link w:val="723"/>
    <w:uiPriority w:val="99"/>
    <w:qFormat/>
    <w:tblPr/>
  </w:style>
  <w:style w:type="table" w:styleId="933">
    <w:name w:val="Grid Table 7 Colorful - Accent 3"/>
    <w:basedOn w:val="734"/>
    <w:next w:val="933"/>
    <w:link w:val="723"/>
    <w:uiPriority w:val="99"/>
    <w:qFormat/>
    <w:tblPr/>
  </w:style>
  <w:style w:type="table" w:styleId="934">
    <w:name w:val="Grid Table 7 Colorful - Accent 4"/>
    <w:basedOn w:val="734"/>
    <w:next w:val="934"/>
    <w:link w:val="723"/>
    <w:uiPriority w:val="99"/>
    <w:qFormat/>
    <w:tblPr/>
  </w:style>
  <w:style w:type="table" w:styleId="935">
    <w:name w:val="Grid Table 7 Colorful - Accent 5"/>
    <w:basedOn w:val="734"/>
    <w:next w:val="935"/>
    <w:link w:val="723"/>
    <w:uiPriority w:val="99"/>
    <w:qFormat/>
    <w:tblPr/>
  </w:style>
  <w:style w:type="table" w:styleId="936">
    <w:name w:val="Grid Table 7 Colorful - Accent 6"/>
    <w:basedOn w:val="734"/>
    <w:next w:val="936"/>
    <w:link w:val="723"/>
    <w:uiPriority w:val="99"/>
    <w:qFormat/>
    <w:tblPr/>
  </w:style>
  <w:style w:type="table" w:styleId="937">
    <w:name w:val="List Table 1 Light - Accent 1"/>
    <w:basedOn w:val="734"/>
    <w:next w:val="937"/>
    <w:link w:val="723"/>
    <w:uiPriority w:val="99"/>
    <w:qFormat/>
    <w:tblPr/>
  </w:style>
  <w:style w:type="table" w:styleId="938">
    <w:name w:val="List Table 1 Light - Accent 2"/>
    <w:basedOn w:val="734"/>
    <w:next w:val="938"/>
    <w:link w:val="723"/>
    <w:uiPriority w:val="99"/>
    <w:qFormat/>
    <w:tblPr/>
  </w:style>
  <w:style w:type="table" w:styleId="939">
    <w:name w:val="List Table 1 Light - Accent 3"/>
    <w:basedOn w:val="734"/>
    <w:next w:val="939"/>
    <w:link w:val="723"/>
    <w:uiPriority w:val="99"/>
    <w:qFormat/>
    <w:tblPr/>
  </w:style>
  <w:style w:type="table" w:styleId="940">
    <w:name w:val="List Table 1 Light - Accent 4"/>
    <w:basedOn w:val="734"/>
    <w:next w:val="940"/>
    <w:link w:val="723"/>
    <w:uiPriority w:val="99"/>
    <w:qFormat/>
    <w:tblPr/>
  </w:style>
  <w:style w:type="table" w:styleId="941">
    <w:name w:val="List Table 1 Light - Accent 5"/>
    <w:basedOn w:val="734"/>
    <w:next w:val="941"/>
    <w:link w:val="723"/>
    <w:uiPriority w:val="99"/>
    <w:qFormat/>
    <w:tblPr/>
  </w:style>
  <w:style w:type="table" w:styleId="942">
    <w:name w:val="List Table 1 Light - Accent 6"/>
    <w:basedOn w:val="734"/>
    <w:next w:val="942"/>
    <w:link w:val="723"/>
    <w:uiPriority w:val="99"/>
    <w:qFormat/>
    <w:tblPr/>
  </w:style>
  <w:style w:type="table" w:styleId="943">
    <w:name w:val="List Table 2 - Accent 1"/>
    <w:basedOn w:val="734"/>
    <w:next w:val="943"/>
    <w:link w:val="723"/>
    <w:uiPriority w:val="99"/>
    <w:qFormat/>
    <w:tblPr/>
  </w:style>
  <w:style w:type="table" w:styleId="944">
    <w:name w:val="List Table 2 - Accent 2"/>
    <w:basedOn w:val="734"/>
    <w:next w:val="944"/>
    <w:link w:val="723"/>
    <w:uiPriority w:val="99"/>
    <w:qFormat/>
    <w:tblPr/>
  </w:style>
  <w:style w:type="table" w:styleId="945">
    <w:name w:val="List Table 2 - Accent 3"/>
    <w:basedOn w:val="734"/>
    <w:next w:val="945"/>
    <w:link w:val="723"/>
    <w:uiPriority w:val="99"/>
    <w:qFormat/>
    <w:tblPr/>
  </w:style>
  <w:style w:type="table" w:styleId="946">
    <w:name w:val="List Table 2 - Accent 4"/>
    <w:basedOn w:val="734"/>
    <w:next w:val="946"/>
    <w:link w:val="723"/>
    <w:uiPriority w:val="99"/>
    <w:qFormat/>
    <w:tblPr/>
  </w:style>
  <w:style w:type="table" w:styleId="947">
    <w:name w:val="List Table 2 - Accent 5"/>
    <w:basedOn w:val="734"/>
    <w:next w:val="947"/>
    <w:link w:val="723"/>
    <w:uiPriority w:val="99"/>
    <w:qFormat/>
    <w:tblPr/>
  </w:style>
  <w:style w:type="table" w:styleId="948">
    <w:name w:val="List Table 2 - Accent 6"/>
    <w:basedOn w:val="734"/>
    <w:next w:val="948"/>
    <w:link w:val="723"/>
    <w:uiPriority w:val="99"/>
    <w:qFormat/>
    <w:tblPr/>
  </w:style>
  <w:style w:type="table" w:styleId="949">
    <w:name w:val="List Table 3 - Accent 1"/>
    <w:basedOn w:val="734"/>
    <w:next w:val="949"/>
    <w:link w:val="723"/>
    <w:uiPriority w:val="99"/>
    <w:qFormat/>
    <w:tblPr/>
  </w:style>
  <w:style w:type="table" w:styleId="950">
    <w:name w:val="List Table 3 - Accent 2"/>
    <w:basedOn w:val="734"/>
    <w:next w:val="950"/>
    <w:link w:val="723"/>
    <w:uiPriority w:val="99"/>
    <w:qFormat/>
    <w:tblPr/>
  </w:style>
  <w:style w:type="table" w:styleId="951">
    <w:name w:val="List Table 3 - Accent 3"/>
    <w:basedOn w:val="734"/>
    <w:next w:val="951"/>
    <w:link w:val="723"/>
    <w:uiPriority w:val="99"/>
    <w:qFormat/>
    <w:tblPr/>
  </w:style>
  <w:style w:type="table" w:styleId="952">
    <w:name w:val="List Table 3 - Accent 4"/>
    <w:basedOn w:val="734"/>
    <w:next w:val="952"/>
    <w:link w:val="723"/>
    <w:uiPriority w:val="99"/>
    <w:qFormat/>
    <w:tblPr/>
  </w:style>
  <w:style w:type="table" w:styleId="953">
    <w:name w:val="List Table 3 - Accent 5"/>
    <w:basedOn w:val="734"/>
    <w:next w:val="953"/>
    <w:link w:val="723"/>
    <w:uiPriority w:val="99"/>
    <w:qFormat/>
    <w:tblPr/>
  </w:style>
  <w:style w:type="table" w:styleId="954">
    <w:name w:val="List Table 3 - Accent 6"/>
    <w:basedOn w:val="734"/>
    <w:next w:val="954"/>
    <w:link w:val="723"/>
    <w:uiPriority w:val="99"/>
    <w:qFormat/>
    <w:tblPr/>
  </w:style>
  <w:style w:type="table" w:styleId="955">
    <w:name w:val="List Table 4 - Accent 1"/>
    <w:basedOn w:val="734"/>
    <w:next w:val="955"/>
    <w:link w:val="723"/>
    <w:uiPriority w:val="99"/>
    <w:qFormat/>
    <w:tblPr/>
  </w:style>
  <w:style w:type="table" w:styleId="956">
    <w:name w:val="List Table 4 - Accent 2"/>
    <w:basedOn w:val="734"/>
    <w:next w:val="956"/>
    <w:link w:val="723"/>
    <w:uiPriority w:val="99"/>
    <w:qFormat/>
    <w:tblPr/>
  </w:style>
  <w:style w:type="table" w:styleId="957">
    <w:name w:val="List Table 4 - Accent 3"/>
    <w:basedOn w:val="734"/>
    <w:next w:val="957"/>
    <w:link w:val="723"/>
    <w:uiPriority w:val="99"/>
    <w:qFormat/>
    <w:tblPr/>
  </w:style>
  <w:style w:type="table" w:styleId="958">
    <w:name w:val="List Table 4 - Accent 4"/>
    <w:basedOn w:val="734"/>
    <w:next w:val="958"/>
    <w:link w:val="723"/>
    <w:uiPriority w:val="99"/>
    <w:qFormat/>
    <w:tblPr/>
  </w:style>
  <w:style w:type="table" w:styleId="959">
    <w:name w:val="List Table 4 - Accent 5"/>
    <w:basedOn w:val="734"/>
    <w:next w:val="959"/>
    <w:link w:val="723"/>
    <w:uiPriority w:val="99"/>
    <w:qFormat/>
    <w:tblPr/>
  </w:style>
  <w:style w:type="table" w:styleId="960">
    <w:name w:val="List Table 4 - Accent 6"/>
    <w:basedOn w:val="734"/>
    <w:next w:val="960"/>
    <w:link w:val="723"/>
    <w:uiPriority w:val="99"/>
    <w:qFormat/>
    <w:tblPr/>
  </w:style>
  <w:style w:type="table" w:styleId="961">
    <w:name w:val="List Table 5 Dark - Accent 1"/>
    <w:basedOn w:val="734"/>
    <w:next w:val="961"/>
    <w:link w:val="723"/>
    <w:uiPriority w:val="99"/>
    <w:qFormat/>
    <w:tblPr/>
  </w:style>
  <w:style w:type="table" w:styleId="962">
    <w:name w:val="List Table 5 Dark - Accent 2"/>
    <w:basedOn w:val="734"/>
    <w:next w:val="962"/>
    <w:link w:val="723"/>
    <w:uiPriority w:val="99"/>
    <w:qFormat/>
    <w:tblPr/>
  </w:style>
  <w:style w:type="table" w:styleId="963">
    <w:name w:val="List Table 5 Dark - Accent 3"/>
    <w:basedOn w:val="734"/>
    <w:next w:val="963"/>
    <w:link w:val="723"/>
    <w:uiPriority w:val="99"/>
    <w:qFormat/>
    <w:tblPr/>
  </w:style>
  <w:style w:type="table" w:styleId="964">
    <w:name w:val="List Table 5 Dark - Accent 4"/>
    <w:basedOn w:val="734"/>
    <w:next w:val="964"/>
    <w:link w:val="723"/>
    <w:uiPriority w:val="99"/>
    <w:qFormat/>
    <w:tblPr/>
  </w:style>
  <w:style w:type="table" w:styleId="965">
    <w:name w:val="List Table 5 Dark - Accent 5"/>
    <w:basedOn w:val="734"/>
    <w:next w:val="965"/>
    <w:link w:val="723"/>
    <w:uiPriority w:val="99"/>
    <w:qFormat/>
    <w:tblPr/>
  </w:style>
  <w:style w:type="table" w:styleId="966">
    <w:name w:val="List Table 5 Dark - Accent 6"/>
    <w:basedOn w:val="734"/>
    <w:next w:val="966"/>
    <w:link w:val="723"/>
    <w:uiPriority w:val="99"/>
    <w:qFormat/>
    <w:tblPr/>
  </w:style>
  <w:style w:type="table" w:styleId="967">
    <w:name w:val="List Table 6 Colorful - Accent 1"/>
    <w:basedOn w:val="734"/>
    <w:next w:val="967"/>
    <w:link w:val="723"/>
    <w:uiPriority w:val="99"/>
    <w:qFormat/>
    <w:tblPr/>
  </w:style>
  <w:style w:type="table" w:styleId="968">
    <w:name w:val="List Table 6 Colorful - Accent 2"/>
    <w:basedOn w:val="734"/>
    <w:next w:val="968"/>
    <w:link w:val="723"/>
    <w:uiPriority w:val="99"/>
    <w:qFormat/>
    <w:tblPr/>
  </w:style>
  <w:style w:type="table" w:styleId="969">
    <w:name w:val="List Table 6 Colorful - Accent 3"/>
    <w:basedOn w:val="734"/>
    <w:next w:val="969"/>
    <w:link w:val="723"/>
    <w:uiPriority w:val="99"/>
    <w:qFormat/>
    <w:tblPr/>
  </w:style>
  <w:style w:type="table" w:styleId="970">
    <w:name w:val="List Table 6 Colorful - Accent 4"/>
    <w:basedOn w:val="734"/>
    <w:next w:val="970"/>
    <w:link w:val="723"/>
    <w:uiPriority w:val="99"/>
    <w:qFormat/>
    <w:tblPr/>
  </w:style>
  <w:style w:type="table" w:styleId="971">
    <w:name w:val="List Table 6 Colorful - Accent 5"/>
    <w:basedOn w:val="734"/>
    <w:next w:val="971"/>
    <w:link w:val="723"/>
    <w:uiPriority w:val="99"/>
    <w:qFormat/>
    <w:tblPr/>
  </w:style>
  <w:style w:type="table" w:styleId="972">
    <w:name w:val="List Table 6 Colorful - Accent 6"/>
    <w:basedOn w:val="734"/>
    <w:next w:val="972"/>
    <w:link w:val="723"/>
    <w:uiPriority w:val="99"/>
    <w:qFormat/>
    <w:tblPr/>
  </w:style>
  <w:style w:type="table" w:styleId="973">
    <w:name w:val="List Table 7 Colorful - Accent 1"/>
    <w:basedOn w:val="734"/>
    <w:next w:val="973"/>
    <w:link w:val="723"/>
    <w:uiPriority w:val="99"/>
    <w:qFormat/>
    <w:tblPr/>
  </w:style>
  <w:style w:type="table" w:styleId="974">
    <w:name w:val="List Table 7 Colorful - Accent 2"/>
    <w:basedOn w:val="734"/>
    <w:next w:val="974"/>
    <w:link w:val="723"/>
    <w:uiPriority w:val="99"/>
    <w:qFormat/>
    <w:tblPr/>
  </w:style>
  <w:style w:type="table" w:styleId="975">
    <w:name w:val="List Table 7 Colorful - Accent 3"/>
    <w:basedOn w:val="734"/>
    <w:next w:val="975"/>
    <w:link w:val="723"/>
    <w:uiPriority w:val="99"/>
    <w:qFormat/>
    <w:tblPr/>
  </w:style>
  <w:style w:type="table" w:styleId="976">
    <w:name w:val="List Table 7 Colorful - Accent 4"/>
    <w:basedOn w:val="734"/>
    <w:next w:val="976"/>
    <w:link w:val="723"/>
    <w:uiPriority w:val="99"/>
    <w:qFormat/>
    <w:tblPr/>
  </w:style>
  <w:style w:type="table" w:styleId="977">
    <w:name w:val="List Table 7 Colorful - Accent 5"/>
    <w:basedOn w:val="734"/>
    <w:next w:val="977"/>
    <w:link w:val="723"/>
    <w:uiPriority w:val="99"/>
    <w:qFormat/>
    <w:tblPr/>
  </w:style>
  <w:style w:type="table" w:styleId="978">
    <w:name w:val="List Table 7 Colorful - Accent 6"/>
    <w:basedOn w:val="734"/>
    <w:next w:val="978"/>
    <w:link w:val="723"/>
    <w:uiPriority w:val="99"/>
    <w:qFormat/>
    <w:tblPr/>
  </w:style>
  <w:style w:type="table" w:styleId="979">
    <w:name w:val="Lined - Accent"/>
    <w:basedOn w:val="734"/>
    <w:next w:val="979"/>
    <w:link w:val="723"/>
    <w:uiPriority w:val="99"/>
    <w:qFormat/>
    <w:rPr>
      <w:color w:val="404040"/>
    </w:rPr>
    <w:tblPr/>
  </w:style>
  <w:style w:type="table" w:styleId="980">
    <w:name w:val="Lined - Accent 1"/>
    <w:basedOn w:val="734"/>
    <w:next w:val="980"/>
    <w:link w:val="723"/>
    <w:uiPriority w:val="99"/>
    <w:qFormat/>
    <w:rPr>
      <w:color w:val="404040"/>
    </w:rPr>
    <w:tblPr/>
  </w:style>
  <w:style w:type="table" w:styleId="981">
    <w:name w:val="Lined - Accent 2"/>
    <w:basedOn w:val="734"/>
    <w:next w:val="981"/>
    <w:link w:val="723"/>
    <w:uiPriority w:val="99"/>
    <w:qFormat/>
    <w:rPr>
      <w:color w:val="404040"/>
    </w:rPr>
    <w:tblPr/>
  </w:style>
  <w:style w:type="table" w:styleId="982">
    <w:name w:val="Lined - Accent 3"/>
    <w:basedOn w:val="734"/>
    <w:next w:val="982"/>
    <w:link w:val="723"/>
    <w:uiPriority w:val="99"/>
    <w:qFormat/>
    <w:rPr>
      <w:color w:val="404040"/>
    </w:rPr>
    <w:tblPr/>
  </w:style>
  <w:style w:type="table" w:styleId="983">
    <w:name w:val="Lined - Accent 4"/>
    <w:basedOn w:val="734"/>
    <w:next w:val="983"/>
    <w:link w:val="723"/>
    <w:uiPriority w:val="99"/>
    <w:qFormat/>
    <w:rPr>
      <w:color w:val="404040"/>
    </w:rPr>
    <w:tblPr/>
  </w:style>
  <w:style w:type="table" w:styleId="984">
    <w:name w:val="Lined - Accent 5"/>
    <w:basedOn w:val="734"/>
    <w:next w:val="984"/>
    <w:link w:val="723"/>
    <w:uiPriority w:val="99"/>
    <w:qFormat/>
    <w:rPr>
      <w:color w:val="404040"/>
    </w:rPr>
    <w:tblPr/>
  </w:style>
  <w:style w:type="table" w:styleId="985">
    <w:name w:val="Lined - Accent 6"/>
    <w:basedOn w:val="734"/>
    <w:next w:val="985"/>
    <w:link w:val="723"/>
    <w:uiPriority w:val="99"/>
    <w:qFormat/>
    <w:rPr>
      <w:color w:val="404040"/>
    </w:rPr>
    <w:tblPr/>
  </w:style>
  <w:style w:type="table" w:styleId="986">
    <w:name w:val="Bordered &amp; Lined - Accent"/>
    <w:basedOn w:val="734"/>
    <w:next w:val="986"/>
    <w:link w:val="723"/>
    <w:uiPriority w:val="99"/>
    <w:qFormat/>
    <w:rPr>
      <w:color w:val="404040"/>
    </w:rPr>
    <w:tblPr/>
  </w:style>
  <w:style w:type="table" w:styleId="987">
    <w:name w:val="Bordered &amp; Lined - Accent 1"/>
    <w:basedOn w:val="734"/>
    <w:next w:val="987"/>
    <w:link w:val="723"/>
    <w:uiPriority w:val="99"/>
    <w:qFormat/>
    <w:rPr>
      <w:color w:val="404040"/>
    </w:rPr>
    <w:tblPr/>
  </w:style>
  <w:style w:type="table" w:styleId="988">
    <w:name w:val="Bordered &amp; Lined - Accent 2"/>
    <w:basedOn w:val="734"/>
    <w:next w:val="988"/>
    <w:link w:val="723"/>
    <w:uiPriority w:val="99"/>
    <w:qFormat/>
    <w:rPr>
      <w:color w:val="404040"/>
    </w:rPr>
    <w:tblPr/>
  </w:style>
  <w:style w:type="table" w:styleId="989">
    <w:name w:val="Bordered &amp; Lined - Accent 3"/>
    <w:basedOn w:val="734"/>
    <w:next w:val="989"/>
    <w:link w:val="723"/>
    <w:uiPriority w:val="99"/>
    <w:qFormat/>
    <w:rPr>
      <w:color w:val="404040"/>
    </w:rPr>
    <w:tblPr/>
  </w:style>
  <w:style w:type="table" w:styleId="990">
    <w:name w:val="Bordered &amp; Lined - Accent 4"/>
    <w:basedOn w:val="734"/>
    <w:next w:val="990"/>
    <w:link w:val="723"/>
    <w:uiPriority w:val="99"/>
    <w:qFormat/>
    <w:rPr>
      <w:color w:val="404040"/>
    </w:rPr>
    <w:tblPr/>
  </w:style>
  <w:style w:type="table" w:styleId="991">
    <w:name w:val="Bordered &amp; Lined - Accent 5"/>
    <w:basedOn w:val="734"/>
    <w:next w:val="991"/>
    <w:link w:val="723"/>
    <w:uiPriority w:val="99"/>
    <w:qFormat/>
    <w:rPr>
      <w:color w:val="404040"/>
    </w:rPr>
    <w:tblPr/>
  </w:style>
  <w:style w:type="table" w:styleId="992">
    <w:name w:val="Bordered &amp; Lined - Accent 6"/>
    <w:basedOn w:val="734"/>
    <w:next w:val="992"/>
    <w:link w:val="723"/>
    <w:uiPriority w:val="99"/>
    <w:qFormat/>
    <w:rPr>
      <w:color w:val="404040"/>
    </w:rPr>
    <w:tblPr/>
  </w:style>
  <w:style w:type="table" w:styleId="993">
    <w:name w:val="Bordered"/>
    <w:basedOn w:val="734"/>
    <w:next w:val="993"/>
    <w:link w:val="723"/>
    <w:uiPriority w:val="99"/>
    <w:qFormat/>
    <w:tblPr/>
  </w:style>
  <w:style w:type="table" w:styleId="994">
    <w:name w:val="Bordered - Accent 1"/>
    <w:basedOn w:val="734"/>
    <w:next w:val="994"/>
    <w:link w:val="723"/>
    <w:uiPriority w:val="99"/>
    <w:qFormat/>
    <w:tblPr/>
  </w:style>
  <w:style w:type="table" w:styleId="995">
    <w:name w:val="Bordered - Accent 2"/>
    <w:basedOn w:val="734"/>
    <w:next w:val="995"/>
    <w:link w:val="723"/>
    <w:uiPriority w:val="99"/>
    <w:qFormat/>
    <w:tblPr/>
  </w:style>
  <w:style w:type="table" w:styleId="996">
    <w:name w:val="Bordered - Accent 3"/>
    <w:basedOn w:val="734"/>
    <w:next w:val="996"/>
    <w:link w:val="723"/>
    <w:uiPriority w:val="99"/>
    <w:qFormat/>
    <w:tblPr/>
  </w:style>
  <w:style w:type="table" w:styleId="997">
    <w:name w:val="Bordered - Accent 4"/>
    <w:basedOn w:val="734"/>
    <w:next w:val="997"/>
    <w:link w:val="723"/>
    <w:uiPriority w:val="99"/>
    <w:qFormat/>
    <w:tblPr/>
  </w:style>
  <w:style w:type="table" w:styleId="998">
    <w:name w:val="Bordered - Accent 5"/>
    <w:basedOn w:val="734"/>
    <w:next w:val="998"/>
    <w:link w:val="723"/>
    <w:uiPriority w:val="99"/>
    <w:qFormat/>
    <w:tblPr/>
  </w:style>
  <w:style w:type="table" w:styleId="999">
    <w:name w:val="Bordered - Accent 6"/>
    <w:basedOn w:val="734"/>
    <w:next w:val="999"/>
    <w:link w:val="723"/>
    <w:uiPriority w:val="99"/>
    <w:qFormat/>
    <w:tblPr/>
  </w:style>
  <w:style w:type="character" w:styleId="1000">
    <w:name w:val="Footnote Text Char"/>
    <w:next w:val="1000"/>
    <w:link w:val="723"/>
    <w:uiPriority w:val="99"/>
    <w:qFormat/>
    <w:rPr>
      <w:sz w:val="18"/>
    </w:rPr>
  </w:style>
  <w:style w:type="character" w:styleId="1001">
    <w:name w:val="Endnote Text Char"/>
    <w:next w:val="1001"/>
    <w:link w:val="723"/>
    <w:uiPriority w:val="99"/>
    <w:qFormat/>
    <w:rPr>
      <w:sz w:val="20"/>
    </w:rPr>
  </w:style>
  <w:style w:type="paragraph" w:styleId="1002">
    <w:name w:val="TOC 标题111"/>
    <w:next w:val="1002"/>
    <w:link w:val="723"/>
    <w:uiPriority w:val="39"/>
    <w:unhideWhenUsed/>
    <w:qFormat/>
    <w:rPr>
      <w:lang w:val="en-US" w:eastAsia="zh-CN" w:bidi="ar-SA"/>
    </w:rPr>
  </w:style>
  <w:style w:type="character" w:styleId="1003">
    <w:name w:val="脚注文本 字符1"/>
    <w:next w:val="1003"/>
    <w:link w:val="723"/>
    <w:uiPriority w:val="99"/>
    <w:semiHidden/>
    <w:qFormat/>
    <w:rPr>
      <w:rFonts w:ascii="Times New Roman" w:hAnsi="Times New Roman" w:eastAsia="楷体_GB2312" w:cs="Times New Roman"/>
      <w:sz w:val="18"/>
      <w:szCs w:val="18"/>
    </w:rPr>
  </w:style>
  <w:style w:type="character" w:styleId="1004">
    <w:name w:val="访问过的超链接1"/>
    <w:next w:val="1004"/>
    <w:link w:val="723"/>
    <w:uiPriority w:val="99"/>
    <w:unhideWhenUsed/>
    <w:qFormat/>
    <w:rPr>
      <w:color w:val="800080"/>
      <w:u w:val="single"/>
    </w:rPr>
  </w:style>
  <w:style w:type="character" w:styleId="1005">
    <w:name w:val="Andy_2级 Char"/>
    <w:next w:val="1005"/>
    <w:link w:val="1006"/>
    <w:qFormat/>
    <w:rPr>
      <w:rFonts w:ascii="Calibri" w:hAnsi="Calibri"/>
      <w:sz w:val="24"/>
    </w:rPr>
  </w:style>
  <w:style w:type="paragraph" w:styleId="1006">
    <w:name w:val="Andy_2级"/>
    <w:basedOn w:val="723"/>
    <w:next w:val="1006"/>
    <w:link w:val="1005"/>
    <w:qFormat/>
    <w:pPr>
      <w:numPr>
        <w:ilvl w:val="1"/>
        <w:numId w:val="1"/>
      </w:numPr>
      <w:spacing w:line="360" w:lineRule="auto"/>
    </w:pPr>
    <w:rPr>
      <w:rFonts w:ascii="Calibri" w:hAnsi="Calibri" w:eastAsia="宋体" w:cs="Times New Roman"/>
      <w:sz w:val="24"/>
      <w:szCs w:val="22"/>
    </w:rPr>
  </w:style>
  <w:style w:type="character" w:styleId="1007">
    <w:name w:val="表正文 Char1"/>
    <w:next w:val="1007"/>
    <w:link w:val="723"/>
    <w:qFormat/>
    <w:rPr>
      <w:rFonts w:eastAsia="楷体_GB2312"/>
      <w:sz w:val="24"/>
      <w:lang w:val="en-US" w:eastAsia="zh-CN" w:bidi="ar-SA"/>
    </w:rPr>
  </w:style>
  <w:style w:type="character" w:styleId="1008">
    <w:name w:val="ca-221"/>
    <w:next w:val="1008"/>
    <w:link w:val="723"/>
    <w:qFormat/>
    <w:rPr>
      <w:rFonts w:hint="eastAsia" w:ascii="宋体" w:hAnsi="宋体" w:eastAsia="宋体"/>
      <w:color w:val="ff0000"/>
      <w:sz w:val="24"/>
      <w:szCs w:val="24"/>
    </w:rPr>
  </w:style>
  <w:style w:type="paragraph" w:styleId="1009">
    <w:name w:val="xl94"/>
    <w:basedOn w:val="723"/>
    <w:next w:val="1009"/>
    <w:link w:val="723"/>
    <w:qFormat/>
    <w:pPr>
      <w:jc w:val="left"/>
      <w:spacing w:before="100" w:beforeAutospacing="1" w:after="100" w:afterAutospacing="1"/>
      <w:widowControl/>
      <w:pBdr>
        <w:top w:val="single" w:color="000000" w:sz="4" w:space="0"/>
        <w:bottom w:val="single" w:color="000000" w:sz="4" w:space="0"/>
      </w:pBdr>
    </w:pPr>
    <w:rPr>
      <w:rFonts w:ascii="仿宋_GB2312" w:hAnsi="宋体" w:eastAsia="仿宋_GB2312" w:cs="宋体"/>
      <w:sz w:val="32"/>
      <w:szCs w:val="32"/>
    </w:rPr>
  </w:style>
  <w:style w:type="paragraph" w:styleId="1010">
    <w:name w:val="xl68"/>
    <w:basedOn w:val="723"/>
    <w:next w:val="1010"/>
    <w:link w:val="723"/>
    <w:qFormat/>
    <w:pPr>
      <w:jc w:val="center"/>
      <w:spacing w:before="100" w:beforeAutospacing="1" w:after="100" w:afterAutospacing="1"/>
      <w:widowControl/>
    </w:pPr>
    <w:rPr>
      <w:rFonts w:ascii="仿宋_GB2312" w:hAnsi="宋体" w:eastAsia="仿宋_GB2312" w:cs="宋体"/>
      <w:sz w:val="32"/>
      <w:szCs w:val="32"/>
    </w:rPr>
  </w:style>
  <w:style w:type="paragraph" w:styleId="1011">
    <w:name w:val="xl70"/>
    <w:basedOn w:val="723"/>
    <w:next w:val="1011"/>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32"/>
      <w:szCs w:val="32"/>
    </w:rPr>
  </w:style>
  <w:style w:type="paragraph" w:styleId="1012">
    <w:name w:val="xl87"/>
    <w:basedOn w:val="723"/>
    <w:next w:val="1012"/>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32"/>
      <w:szCs w:val="32"/>
    </w:rPr>
  </w:style>
  <w:style w:type="paragraph" w:styleId="1013">
    <w:name w:val="xl96"/>
    <w:basedOn w:val="723"/>
    <w:next w:val="1013"/>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14">
    <w:name w:val="xl91"/>
    <w:basedOn w:val="723"/>
    <w:next w:val="1014"/>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15">
    <w:name w:val="xl78"/>
    <w:basedOn w:val="723"/>
    <w:next w:val="1015"/>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016">
    <w:name w:val="正文 New New New New"/>
    <w:next w:val="1016"/>
    <w:link w:val="723"/>
    <w:qFormat/>
    <w:pPr>
      <w:jc w:val="both"/>
      <w:widowControl w:val="off"/>
    </w:pPr>
    <w:rPr>
      <w:rFonts w:ascii="Times New Roman" w:hAnsi="Times New Roman"/>
      <w:szCs w:val="24"/>
      <w:lang w:val="en-US" w:eastAsia="zh-CN" w:bidi="ar-SA"/>
    </w:rPr>
  </w:style>
  <w:style w:type="paragraph" w:styleId="1017">
    <w:name w:val="xl93"/>
    <w:basedOn w:val="723"/>
    <w:next w:val="1017"/>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宋体"/>
      <w:sz w:val="32"/>
      <w:szCs w:val="32"/>
    </w:rPr>
  </w:style>
  <w:style w:type="paragraph" w:styleId="1018">
    <w:name w:val="Char"/>
    <w:basedOn w:val="723"/>
    <w:next w:val="1018"/>
    <w:link w:val="723"/>
    <w:qFormat/>
    <w:rPr>
      <w:rFonts w:ascii="Tahoma" w:hAnsi="Tahoma" w:eastAsia="宋体"/>
      <w:sz w:val="24"/>
    </w:rPr>
  </w:style>
  <w:style w:type="paragraph" w:styleId="1019">
    <w:name w:val="纯文本1"/>
    <w:basedOn w:val="723"/>
    <w:next w:val="1019"/>
    <w:link w:val="723"/>
    <w:qFormat/>
    <w:rPr>
      <w:rFonts w:ascii="宋体" w:hAnsi="Courier New"/>
    </w:rPr>
  </w:style>
  <w:style w:type="paragraph" w:styleId="1020">
    <w:name w:val="纯文本2"/>
    <w:basedOn w:val="723"/>
    <w:next w:val="1020"/>
    <w:link w:val="723"/>
    <w:qFormat/>
    <w:rPr>
      <w:rFonts w:ascii="宋体" w:hAnsi="Courier New"/>
    </w:rPr>
  </w:style>
  <w:style w:type="paragraph" w:styleId="1021">
    <w:name w:val="纯文本3"/>
    <w:basedOn w:val="723"/>
    <w:next w:val="1021"/>
    <w:link w:val="1022"/>
    <w:qFormat/>
    <w:rPr>
      <w:rFonts w:ascii="宋体" w:hAnsi="Courier New"/>
    </w:rPr>
  </w:style>
  <w:style w:type="character" w:styleId="1022">
    <w:name w:val="Plain Text Char Char"/>
    <w:next w:val="1022"/>
    <w:link w:val="1021"/>
    <w:qFormat/>
    <w:rPr>
      <w:rFonts w:ascii="宋体" w:hAnsi="Courier New" w:eastAsia="楷体_GB2312" w:cs="Times New Roman"/>
      <w:sz w:val="26"/>
      <w:szCs w:val="20"/>
    </w:rPr>
  </w:style>
  <w:style w:type="paragraph" w:styleId="1023">
    <w:name w:val="xl75"/>
    <w:basedOn w:val="723"/>
    <w:next w:val="1023"/>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024">
    <w:name w:val="xl71"/>
    <w:basedOn w:val="723"/>
    <w:next w:val="1024"/>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025">
    <w:name w:val="xl97"/>
    <w:basedOn w:val="723"/>
    <w:next w:val="1025"/>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026">
    <w:name w:val="列出段落1"/>
    <w:basedOn w:val="723"/>
    <w:next w:val="1026"/>
    <w:link w:val="1027"/>
    <w:uiPriority w:val="34"/>
    <w:qFormat/>
    <w:pPr>
      <w:ind w:firstLine="420"/>
    </w:pPr>
  </w:style>
  <w:style w:type="character" w:styleId="1027">
    <w:name w:val="列出段落 字符"/>
    <w:next w:val="1027"/>
    <w:link w:val="1026"/>
    <w:uiPriority w:val="34"/>
    <w:qFormat/>
    <w:rPr>
      <w:rFonts w:ascii="Times New Roman" w:hAnsi="Times New Roman" w:eastAsia="楷体_GB2312" w:cs="Times New Roman"/>
      <w:sz w:val="26"/>
      <w:szCs w:val="20"/>
    </w:rPr>
  </w:style>
  <w:style w:type="paragraph" w:styleId="1028">
    <w:name w:val="xl80"/>
    <w:basedOn w:val="723"/>
    <w:next w:val="1028"/>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29">
    <w:name w:val="xl72"/>
    <w:basedOn w:val="723"/>
    <w:next w:val="1029"/>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030">
    <w:name w:val="xl95"/>
    <w:basedOn w:val="723"/>
    <w:next w:val="1030"/>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031">
    <w:name w:val="xl85"/>
    <w:basedOn w:val="723"/>
    <w:next w:val="1031"/>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032">
    <w:name w:val="Char Char3"/>
    <w:basedOn w:val="723"/>
    <w:next w:val="1032"/>
    <w:link w:val="723"/>
    <w:qFormat/>
    <w:pPr>
      <w:jc w:val="left"/>
      <w:spacing w:after="160" w:line="240" w:lineRule="exact"/>
      <w:widowControl/>
    </w:pPr>
    <w:rPr>
      <w:rFonts w:eastAsia="宋体"/>
      <w:sz w:val="24"/>
      <w:szCs w:val="24"/>
    </w:rPr>
  </w:style>
  <w:style w:type="paragraph" w:styleId="1033">
    <w:name w:val="xl89"/>
    <w:basedOn w:val="723"/>
    <w:next w:val="1033"/>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34">
    <w:name w:val="修订1"/>
    <w:next w:val="1034"/>
    <w:link w:val="723"/>
    <w:uiPriority w:val="99"/>
    <w:unhideWhenUsed/>
    <w:qFormat/>
    <w:rPr>
      <w:rFonts w:ascii="Times New Roman" w:hAnsi="Times New Roman" w:eastAsia="楷体_GB2312"/>
      <w:sz w:val="26"/>
      <w:lang w:val="en-US" w:eastAsia="zh-CN" w:bidi="ar-SA"/>
    </w:rPr>
  </w:style>
  <w:style w:type="paragraph" w:styleId="1035">
    <w:name w:val="Char1"/>
    <w:basedOn w:val="723"/>
    <w:next w:val="1035"/>
    <w:link w:val="723"/>
    <w:qFormat/>
    <w:pPr>
      <w:jc w:val="left"/>
      <w:spacing w:after="160" w:line="240" w:lineRule="exact"/>
      <w:widowControl/>
    </w:pPr>
    <w:rPr>
      <w:rFonts w:ascii="Verdana" w:hAnsi="Verdana" w:eastAsia="仿宋_GB2312"/>
      <w:sz w:val="24"/>
      <w:lang w:eastAsia="en-US"/>
    </w:rPr>
  </w:style>
  <w:style w:type="paragraph" w:styleId="1036">
    <w:name w:val="xl67"/>
    <w:basedOn w:val="723"/>
    <w:next w:val="1036"/>
    <w:link w:val="723"/>
    <w:qFormat/>
    <w:pPr>
      <w:jc w:val="left"/>
      <w:spacing w:before="100" w:beforeAutospacing="1" w:after="100" w:afterAutospacing="1"/>
      <w:widowControl/>
    </w:pPr>
    <w:rPr>
      <w:rFonts w:ascii="仿宋_GB2312" w:hAnsi="宋体" w:eastAsia="仿宋_GB2312" w:cs="宋体"/>
      <w:sz w:val="20"/>
    </w:rPr>
  </w:style>
  <w:style w:type="paragraph" w:styleId="1037">
    <w:name w:val="Char Char Char Char"/>
    <w:basedOn w:val="752"/>
    <w:next w:val="1037"/>
    <w:link w:val="723"/>
    <w:qFormat/>
    <w:pPr>
      <w:ind w:left="357"/>
      <w:jc w:val="left"/>
      <w:spacing w:line="436" w:lineRule="exact"/>
      <w:outlineLvl w:val="3"/>
    </w:pPr>
    <w:rPr>
      <w:rFonts w:ascii="Tahoma" w:hAnsi="Tahoma" w:eastAsia="宋体"/>
      <w:b/>
      <w:sz w:val="24"/>
      <w:szCs w:val="24"/>
    </w:rPr>
  </w:style>
  <w:style w:type="paragraph" w:styleId="1038">
    <w:name w:val="xl69"/>
    <w:basedOn w:val="723"/>
    <w:next w:val="1038"/>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4"/>
      <w:szCs w:val="24"/>
    </w:rPr>
  </w:style>
  <w:style w:type="paragraph" w:styleId="1039">
    <w:name w:val="xl66"/>
    <w:basedOn w:val="723"/>
    <w:next w:val="1039"/>
    <w:link w:val="723"/>
    <w:qFormat/>
    <w:pPr>
      <w:jc w:val="center"/>
      <w:spacing w:before="100" w:beforeAutospacing="1" w:after="100" w:afterAutospacing="1"/>
      <w:widowControl/>
    </w:pPr>
    <w:rPr>
      <w:rFonts w:ascii="仿宋_GB2312" w:hAnsi="宋体" w:eastAsia="仿宋_GB2312" w:cs="宋体"/>
      <w:sz w:val="32"/>
      <w:szCs w:val="32"/>
    </w:rPr>
  </w:style>
  <w:style w:type="paragraph" w:styleId="1040">
    <w:name w:val="Char Char Char"/>
    <w:basedOn w:val="723"/>
    <w:next w:val="1040"/>
    <w:link w:val="723"/>
    <w:qFormat/>
    <w:pPr>
      <w:numPr>
        <w:ilvl w:val="0"/>
        <w:numId w:val="2"/>
      </w:numPr>
      <w:tabs>
        <w:tab w:val="left" w:pos="360" w:leader="none"/>
      </w:tabs>
    </w:pPr>
    <w:rPr>
      <w:rFonts w:eastAsia="宋体"/>
      <w:sz w:val="24"/>
      <w:szCs w:val="24"/>
    </w:rPr>
  </w:style>
  <w:style w:type="paragraph" w:styleId="1041">
    <w:name w:val="xl76"/>
    <w:basedOn w:val="723"/>
    <w:next w:val="1041"/>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42">
    <w:name w:val="xl74"/>
    <w:basedOn w:val="723"/>
    <w:next w:val="1042"/>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43">
    <w:name w:val="xl92"/>
    <w:basedOn w:val="723"/>
    <w:next w:val="1043"/>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44">
    <w:name w:val="xl86"/>
    <w:basedOn w:val="723"/>
    <w:next w:val="1044"/>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32"/>
      <w:szCs w:val="32"/>
    </w:rPr>
  </w:style>
  <w:style w:type="paragraph" w:styleId="1045">
    <w:name w:val="xl77"/>
    <w:basedOn w:val="723"/>
    <w:next w:val="1045"/>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46">
    <w:name w:val="xl90"/>
    <w:basedOn w:val="723"/>
    <w:next w:val="1046"/>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47">
    <w:name w:val="xl88"/>
    <w:basedOn w:val="723"/>
    <w:next w:val="1047"/>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rPr>
  </w:style>
  <w:style w:type="paragraph" w:styleId="1048">
    <w:name w:val="xl83"/>
    <w:basedOn w:val="723"/>
    <w:next w:val="1048"/>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049">
    <w:name w:val="xl84"/>
    <w:basedOn w:val="723"/>
    <w:next w:val="1049"/>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050">
    <w:name w:val="xl82"/>
    <w:basedOn w:val="723"/>
    <w:next w:val="1050"/>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32"/>
      <w:szCs w:val="32"/>
    </w:rPr>
  </w:style>
  <w:style w:type="paragraph" w:styleId="1051">
    <w:name w:val="xl73"/>
    <w:basedOn w:val="723"/>
    <w:next w:val="1051"/>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52">
    <w:name w:val="xl81"/>
    <w:basedOn w:val="723"/>
    <w:next w:val="1052"/>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053">
    <w:name w:val="xl79"/>
    <w:basedOn w:val="723"/>
    <w:next w:val="1053"/>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054">
    <w:name w:val="列出段落11"/>
    <w:basedOn w:val="723"/>
    <w:next w:val="1054"/>
    <w:link w:val="723"/>
    <w:qFormat/>
    <w:pPr>
      <w:ind w:firstLine="420"/>
    </w:pPr>
    <w:rPr>
      <w:rFonts w:ascii="Calibri" w:hAnsi="Calibri" w:eastAsia="宋体"/>
      <w:sz w:val="21"/>
      <w:szCs w:val="22"/>
    </w:rPr>
  </w:style>
  <w:style w:type="character" w:styleId="1055">
    <w:name w:val="正文2 Char"/>
    <w:next w:val="1055"/>
    <w:link w:val="1056"/>
    <w:qFormat/>
    <w:rPr>
      <w:rFonts w:ascii="Calibri" w:hAnsi="Calibri"/>
      <w:sz w:val="24"/>
    </w:rPr>
  </w:style>
  <w:style w:type="paragraph" w:styleId="1056">
    <w:name w:val="正文2"/>
    <w:basedOn w:val="723"/>
    <w:next w:val="1056"/>
    <w:link w:val="1055"/>
    <w:qFormat/>
    <w:pPr>
      <w:ind w:firstLine="510"/>
      <w:spacing w:before="156" w:line="360" w:lineRule="auto"/>
    </w:pPr>
    <w:rPr>
      <w:rFonts w:ascii="Calibri" w:hAnsi="Calibri" w:eastAsia="宋体" w:cs="Times New Roman"/>
      <w:sz w:val="24"/>
      <w:szCs w:val="22"/>
    </w:rPr>
  </w:style>
  <w:style w:type="paragraph" w:styleId="1057">
    <w:name w:val="Andy_二级"/>
    <w:basedOn w:val="1054"/>
    <w:next w:val="1057"/>
    <w:link w:val="723"/>
    <w:qFormat/>
    <w:pPr>
      <w:ind w:firstLine="510"/>
      <w:spacing w:line="360" w:lineRule="auto"/>
    </w:pPr>
    <w:rPr>
      <w:sz w:val="24"/>
    </w:rPr>
  </w:style>
  <w:style w:type="paragraph" w:styleId="1058">
    <w:name w:val="Andy_4级"/>
    <w:basedOn w:val="1054"/>
    <w:next w:val="1058"/>
    <w:link w:val="723"/>
    <w:qFormat/>
    <w:pPr>
      <w:ind w:firstLine="510"/>
      <w:spacing w:line="360" w:lineRule="auto"/>
    </w:pPr>
    <w:rPr>
      <w:sz w:val="24"/>
      <w:szCs w:val="20"/>
    </w:rPr>
  </w:style>
  <w:style w:type="paragraph" w:styleId="1059">
    <w:name w:val="Andy_3级"/>
    <w:basedOn w:val="723"/>
    <w:next w:val="1059"/>
    <w:link w:val="723"/>
    <w:qFormat/>
    <w:pPr>
      <w:ind w:firstLine="510"/>
      <w:spacing w:line="360" w:lineRule="auto"/>
    </w:pPr>
    <w:rPr>
      <w:rFonts w:ascii="Calibri" w:hAnsi="Calibri" w:eastAsia="宋体"/>
      <w:sz w:val="24"/>
    </w:rPr>
  </w:style>
  <w:style w:type="paragraph" w:styleId="1060">
    <w:name w:val="Andy_一级"/>
    <w:basedOn w:val="1054"/>
    <w:next w:val="1060"/>
    <w:link w:val="723"/>
    <w:qFormat/>
    <w:pPr>
      <w:ind w:firstLine="0"/>
      <w:keepNext/>
      <w:spacing w:line="360" w:lineRule="auto"/>
    </w:pPr>
    <w:rPr>
      <w:b/>
      <w:sz w:val="24"/>
    </w:rPr>
  </w:style>
  <w:style w:type="paragraph" w:styleId="1061">
    <w:name w:val="首行缩进"/>
    <w:basedOn w:val="723"/>
    <w:next w:val="1061"/>
    <w:link w:val="723"/>
    <w:qFormat/>
    <w:pPr>
      <w:ind w:firstLine="480"/>
    </w:pPr>
    <w:rPr>
      <w:rFonts w:eastAsia="宋体"/>
      <w:sz w:val="21"/>
      <w:lang w:val="zh-CN"/>
    </w:rPr>
  </w:style>
  <w:style w:type="paragraph" w:styleId="1062">
    <w:name w:val="表格"/>
    <w:basedOn w:val="723"/>
    <w:next w:val="768"/>
    <w:link w:val="723"/>
    <w:qFormat/>
    <w:rPr>
      <w:rFonts w:ascii="宋体" w:hAnsi="Courier New" w:eastAsia="仿宋_GB2312"/>
      <w:sz w:val="28"/>
      <w:szCs w:val="21"/>
    </w:rPr>
  </w:style>
  <w:style w:type="paragraph" w:styleId="1063">
    <w:name w:val="列出段落5"/>
    <w:basedOn w:val="723"/>
    <w:next w:val="1063"/>
    <w:link w:val="723"/>
    <w:qFormat/>
    <w:pPr>
      <w:ind w:firstLine="420"/>
      <w:jc w:val="left"/>
      <w:widowControl/>
    </w:pPr>
    <w:rPr>
      <w:rFonts w:ascii="Calibri" w:hAnsi="Calibri" w:eastAsia="宋体" w:cs="Arial"/>
      <w:sz w:val="20"/>
    </w:rPr>
  </w:style>
  <w:style w:type="paragraph" w:styleId="1064">
    <w:name w:val="列出段落3"/>
    <w:basedOn w:val="723"/>
    <w:next w:val="1064"/>
    <w:link w:val="723"/>
    <w:uiPriority w:val="34"/>
    <w:qFormat/>
    <w:pPr>
      <w:ind w:firstLine="420"/>
    </w:pPr>
    <w:rPr>
      <w:rFonts w:eastAsia="宋体"/>
      <w:sz w:val="21"/>
      <w:szCs w:val="24"/>
    </w:rPr>
  </w:style>
  <w:style w:type="paragraph" w:styleId="1065">
    <w:name w:val="ParaAttribute2"/>
    <w:next w:val="1065"/>
    <w:link w:val="723"/>
    <w:qFormat/>
    <w:pPr>
      <w:jc w:val="both"/>
      <w:spacing w:line="600" w:lineRule="exact"/>
      <w:widowControl w:val="off"/>
    </w:pPr>
    <w:rPr>
      <w:rFonts w:ascii="Times New Roman" w:hAnsi="Times New Roman" w:eastAsia="Batang"/>
      <w:lang w:val="en-US" w:eastAsia="zh-CN" w:bidi="ar-SA"/>
    </w:rPr>
  </w:style>
  <w:style w:type="character" w:styleId="1066">
    <w:name w:val="CharAttribute3"/>
    <w:next w:val="1066"/>
    <w:link w:val="723"/>
    <w:qFormat/>
    <w:rPr>
      <w:rFonts w:ascii="Times New Roman" w:hAnsi="宋体" w:eastAsia="宋体" w:cs="Times New Roman"/>
      <w:sz w:val="32"/>
    </w:rPr>
  </w:style>
  <w:style w:type="paragraph" w:styleId="1067">
    <w:name w:val="List Paragraph1"/>
    <w:basedOn w:val="723"/>
    <w:next w:val="1067"/>
    <w:link w:val="723"/>
    <w:qFormat/>
    <w:pPr>
      <w:ind w:firstLine="420"/>
    </w:pPr>
    <w:rPr>
      <w:rFonts w:eastAsia="宋体"/>
      <w:sz w:val="21"/>
    </w:rPr>
  </w:style>
  <w:style w:type="paragraph" w:styleId="1068">
    <w:name w:val="纯文本31"/>
    <w:basedOn w:val="723"/>
    <w:next w:val="1068"/>
    <w:link w:val="723"/>
    <w:qFormat/>
    <w:rPr>
      <w:rFonts w:ascii="宋体" w:hAnsi="Courier New"/>
    </w:rPr>
  </w:style>
  <w:style w:type="paragraph" w:styleId="1069">
    <w:name w:val="Char Char31"/>
    <w:basedOn w:val="723"/>
    <w:next w:val="1069"/>
    <w:link w:val="723"/>
    <w:qFormat/>
    <w:pPr>
      <w:jc w:val="left"/>
      <w:spacing w:after="160" w:line="240" w:lineRule="exact"/>
      <w:widowControl/>
    </w:pPr>
    <w:rPr>
      <w:rFonts w:eastAsia="宋体"/>
      <w:sz w:val="24"/>
      <w:szCs w:val="24"/>
    </w:rPr>
  </w:style>
  <w:style w:type="paragraph" w:styleId="1070">
    <w:name w:val="Char Char Char Char1"/>
    <w:basedOn w:val="752"/>
    <w:next w:val="1070"/>
    <w:link w:val="723"/>
    <w:qFormat/>
    <w:pPr>
      <w:ind w:left="357"/>
      <w:jc w:val="left"/>
      <w:spacing w:line="436" w:lineRule="exact"/>
      <w:outlineLvl w:val="3"/>
    </w:pPr>
    <w:rPr>
      <w:rFonts w:ascii="Tahoma" w:hAnsi="Tahoma" w:eastAsia="宋体"/>
      <w:b/>
      <w:sz w:val="24"/>
      <w:szCs w:val="24"/>
    </w:rPr>
  </w:style>
  <w:style w:type="paragraph" w:styleId="1071">
    <w:name w:val="Char Char Char1"/>
    <w:basedOn w:val="723"/>
    <w:next w:val="1071"/>
    <w:link w:val="723"/>
    <w:qFormat/>
    <w:pPr>
      <w:ind w:left="360" w:hanging="360"/>
      <w:tabs>
        <w:tab w:val="left" w:pos="360" w:leader="none"/>
      </w:tabs>
    </w:pPr>
    <w:rPr>
      <w:rFonts w:eastAsia="宋体"/>
      <w:sz w:val="24"/>
      <w:szCs w:val="24"/>
    </w:rPr>
  </w:style>
  <w:style w:type="paragraph" w:styleId="1072">
    <w:name w:val="列出段落2"/>
    <w:basedOn w:val="723"/>
    <w:next w:val="1072"/>
    <w:link w:val="1073"/>
    <w:qFormat/>
    <w:pPr>
      <w:ind w:firstLine="420"/>
    </w:pPr>
    <w:rPr>
      <w:rFonts w:eastAsia="宋体"/>
      <w:sz w:val="21"/>
    </w:rPr>
  </w:style>
  <w:style w:type="character" w:styleId="1073">
    <w:name w:val="列出段落 Char"/>
    <w:next w:val="1073"/>
    <w:link w:val="1072"/>
    <w:qFormat/>
    <w:rPr>
      <w:rFonts w:ascii="Times New Roman" w:hAnsi="Times New Roman" w:eastAsia="宋体" w:cs="Times New Roman"/>
      <w:szCs w:val="20"/>
    </w:rPr>
  </w:style>
  <w:style w:type="paragraph" w:styleId="1074">
    <w:name w:val="xl27"/>
    <w:basedOn w:val="723"/>
    <w:next w:val="1074"/>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楷体_GB2312" w:hAnsi="宋体"/>
      <w:sz w:val="20"/>
    </w:rPr>
  </w:style>
  <w:style w:type="paragraph" w:styleId="1075">
    <w:name w:val="xl31"/>
    <w:basedOn w:val="723"/>
    <w:next w:val="1075"/>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szCs w:val="24"/>
    </w:rPr>
  </w:style>
  <w:style w:type="character" w:styleId="1076">
    <w:name w:val="正文文本 2 Char"/>
    <w:next w:val="1076"/>
    <w:link w:val="723"/>
    <w:qFormat/>
    <w:rPr>
      <w:color w:val="ff00ff"/>
    </w:rPr>
  </w:style>
  <w:style w:type="character" w:styleId="1077">
    <w:name w:val="+正文 Char3"/>
    <w:next w:val="1077"/>
    <w:link w:val="1078"/>
    <w:qFormat/>
    <w:rPr>
      <w:sz w:val="24"/>
    </w:rPr>
  </w:style>
  <w:style w:type="paragraph" w:styleId="1078">
    <w:name w:val="+正文"/>
    <w:basedOn w:val="723"/>
    <w:next w:val="1078"/>
    <w:link w:val="1077"/>
    <w:qFormat/>
    <w:pPr>
      <w:ind w:firstLine="200"/>
      <w:spacing w:line="360" w:lineRule="auto"/>
    </w:pPr>
    <w:rPr>
      <w:rFonts w:ascii="等线" w:hAnsi="等线" w:eastAsia="宋体" w:cs="Times New Roman"/>
      <w:sz w:val="24"/>
      <w:szCs w:val="22"/>
    </w:rPr>
  </w:style>
  <w:style w:type="character" w:styleId="1079">
    <w:name w:val="Char Char"/>
    <w:next w:val="1079"/>
    <w:link w:val="723"/>
    <w:qFormat/>
    <w:rPr>
      <w:rFonts w:ascii="宋体" w:hAnsi="Courier New" w:eastAsia="楷体_GB2312"/>
      <w:sz w:val="26"/>
      <w:lang w:val="en-US" w:eastAsia="zh-CN" w:bidi="ar-SA"/>
    </w:rPr>
  </w:style>
  <w:style w:type="character" w:styleId="1080">
    <w:name w:val="样式 正文缩进 + 首行缩进:  2 字符 Char Char"/>
    <w:next w:val="1080"/>
    <w:link w:val="1081"/>
    <w:qFormat/>
    <w:rPr>
      <w:sz w:val="24"/>
    </w:rPr>
  </w:style>
  <w:style w:type="paragraph" w:styleId="1081">
    <w:name w:val="样式 正文缩进 + 首行缩进:  2 字符"/>
    <w:basedOn w:val="748"/>
    <w:next w:val="1081"/>
    <w:link w:val="1080"/>
    <w:qFormat/>
    <w:pPr>
      <w:ind w:firstLine="480"/>
      <w:jc w:val="both"/>
      <w:spacing w:after="80" w:line="360" w:lineRule="auto"/>
    </w:pPr>
    <w:rPr>
      <w:rFonts w:ascii="等线" w:hAnsi="等线" w:eastAsia="宋体" w:cs="Times New Roman"/>
      <w:szCs w:val="22"/>
    </w:rPr>
  </w:style>
  <w:style w:type="character" w:styleId="1082">
    <w:name w:val="style11"/>
    <w:next w:val="1082"/>
    <w:link w:val="723"/>
    <w:qFormat/>
    <w:rPr>
      <w:rFonts w:ascii="Verdana" w:hAnsi="Verdana"/>
      <w:sz w:val="21"/>
    </w:rPr>
  </w:style>
  <w:style w:type="character" w:styleId="1083">
    <w:name w:val="Char Char1"/>
    <w:next w:val="1083"/>
    <w:link w:val="723"/>
    <w:qFormat/>
    <w:rPr>
      <w:rFonts w:eastAsia="宋体"/>
      <w:sz w:val="24"/>
      <w:lang w:val="en-US" w:eastAsia="zh-CN" w:bidi="ar-SA"/>
    </w:rPr>
  </w:style>
  <w:style w:type="character" w:styleId="1084">
    <w:name w:val="1.1（特殊） Char Char"/>
    <w:next w:val="1084"/>
    <w:link w:val="1085"/>
    <w:qFormat/>
    <w:rPr>
      <w:rFonts w:ascii="微软雅黑" w:hAnsi="微软雅黑" w:eastAsia="微软雅黑"/>
      <w:b/>
      <w:sz w:val="28"/>
      <w:szCs w:val="28"/>
    </w:rPr>
  </w:style>
  <w:style w:type="paragraph" w:styleId="1085">
    <w:name w:val="1.1（特殊）"/>
    <w:basedOn w:val="723"/>
    <w:next w:val="1085"/>
    <w:link w:val="1084"/>
    <w:qFormat/>
    <w:pPr>
      <w:jc w:val="left"/>
      <w:spacing w:before="120"/>
    </w:pPr>
    <w:rPr>
      <w:rFonts w:ascii="微软雅黑" w:hAnsi="微软雅黑" w:eastAsia="微软雅黑" w:cs="Times New Roman"/>
      <w:b/>
      <w:sz w:val="28"/>
      <w:szCs w:val="28"/>
    </w:rPr>
  </w:style>
  <w:style w:type="character" w:styleId="1086">
    <w:name w:val="point_normal1"/>
    <w:next w:val="1086"/>
    <w:link w:val="723"/>
    <w:qFormat/>
    <w:rPr>
      <w:rFonts w:ascii="Arial" w:hAnsi="Arial"/>
      <w:sz w:val="18"/>
    </w:rPr>
  </w:style>
  <w:style w:type="paragraph" w:styleId="1087">
    <w:name w:val="段落正文 Char Char"/>
    <w:basedOn w:val="723"/>
    <w:next w:val="1087"/>
    <w:link w:val="723"/>
    <w:qFormat/>
    <w:pPr>
      <w:ind w:firstLine="461"/>
      <w:spacing w:line="360" w:lineRule="auto"/>
    </w:pPr>
    <w:rPr>
      <w:rFonts w:ascii="宋体" w:hAnsi="宋体" w:eastAsia="宋体"/>
      <w:sz w:val="24"/>
      <w:szCs w:val="24"/>
    </w:rPr>
  </w:style>
  <w:style w:type="paragraph" w:styleId="1088">
    <w:name w:val="00"/>
    <w:basedOn w:val="723"/>
    <w:next w:val="1088"/>
    <w:link w:val="723"/>
    <w:qFormat/>
    <w:pPr>
      <w:jc w:val="left"/>
    </w:pPr>
    <w:rPr>
      <w:rFonts w:ascii="黑体" w:eastAsia="黑体"/>
      <w:b/>
      <w:bCs/>
      <w:sz w:val="20"/>
    </w:rPr>
  </w:style>
  <w:style w:type="paragraph" w:styleId="1089">
    <w:name w:val="第三级"/>
    <w:basedOn w:val="726"/>
    <w:next w:val="723"/>
    <w:link w:val="723"/>
    <w:qFormat/>
    <w:pPr>
      <w:ind w:left="1259" w:right="210" w:hanging="720"/>
      <w:keepLines w:val="0"/>
      <w:keepNext w:val="0"/>
      <w:widowControl/>
      <w:tabs>
        <w:tab w:val="left" w:pos="900" w:leader="none"/>
      </w:tabs>
    </w:pPr>
    <w:rPr>
      <w:rFonts w:ascii="Arial" w:hAnsi="Arial" w:eastAsia="黑体" w:cs="Arial"/>
      <w:color w:val="000000"/>
      <w:sz w:val="28"/>
      <w:szCs w:val="24"/>
    </w:rPr>
  </w:style>
  <w:style w:type="paragraph" w:styleId="1090">
    <w:name w:val="无缩进正文"/>
    <w:basedOn w:val="723"/>
    <w:next w:val="1090"/>
    <w:link w:val="723"/>
    <w:qFormat/>
    <w:rPr>
      <w:rFonts w:eastAsia="宋体"/>
      <w:sz w:val="21"/>
    </w:rPr>
  </w:style>
  <w:style w:type="paragraph" w:styleId="1091">
    <w:name w:val="+正文 Char"/>
    <w:basedOn w:val="723"/>
    <w:next w:val="1091"/>
    <w:link w:val="723"/>
    <w:qFormat/>
    <w:pPr>
      <w:ind w:firstLine="200"/>
      <w:spacing w:line="360" w:lineRule="auto"/>
    </w:pPr>
    <w:rPr>
      <w:rFonts w:eastAsia="宋体"/>
      <w:sz w:val="24"/>
    </w:rPr>
  </w:style>
  <w:style w:type="paragraph" w:styleId="1092">
    <w:name w:val="Char Char Char Char Char Char Char Char Char Char"/>
    <w:basedOn w:val="723"/>
    <w:next w:val="1092"/>
    <w:link w:val="723"/>
    <w:qFormat/>
    <w:pPr>
      <w:ind w:left="420" w:hanging="420"/>
      <w:tabs>
        <w:tab w:val="left" w:pos="420" w:leader="none"/>
      </w:tabs>
    </w:pPr>
    <w:rPr>
      <w:rFonts w:eastAsia="宋体"/>
      <w:sz w:val="24"/>
      <w:szCs w:val="24"/>
    </w:rPr>
  </w:style>
  <w:style w:type="paragraph" w:styleId="1093">
    <w:name w:val="Char Char Char1 Char"/>
    <w:basedOn w:val="723"/>
    <w:next w:val="1093"/>
    <w:link w:val="723"/>
    <w:qFormat/>
    <w:pPr>
      <w:jc w:val="left"/>
      <w:spacing w:after="160" w:line="240" w:lineRule="exact"/>
      <w:widowControl/>
    </w:pPr>
    <w:rPr>
      <w:rFonts w:eastAsia="宋体"/>
      <w:sz w:val="21"/>
      <w:szCs w:val="24"/>
    </w:rPr>
  </w:style>
  <w:style w:type="paragraph" w:styleId="1094">
    <w:name w:val="小四 段落 宋体 Char"/>
    <w:basedOn w:val="747"/>
    <w:next w:val="1094"/>
    <w:link w:val="723"/>
    <w:qFormat/>
    <w:pPr>
      <w:ind w:left="0" w:right="-33" w:firstLine="480"/>
      <w:jc w:val="left"/>
      <w:spacing w:line="360" w:lineRule="auto"/>
      <w:tabs>
        <w:tab w:val="left" w:pos="420" w:leader="none"/>
      </w:tabs>
    </w:pPr>
    <w:rPr>
      <w:sz w:val="24"/>
      <w:szCs w:val="24"/>
    </w:rPr>
  </w:style>
  <w:style w:type="paragraph" w:styleId="1095">
    <w:name w:val="小点说明"/>
    <w:basedOn w:val="723"/>
    <w:next w:val="1095"/>
    <w:link w:val="723"/>
    <w:qFormat/>
    <w:pPr>
      <w:ind w:left="360" w:hanging="360"/>
      <w:spacing w:after="80" w:line="360" w:lineRule="auto"/>
      <w:tabs>
        <w:tab w:val="left" w:pos="780" w:leader="none"/>
      </w:tabs>
    </w:pPr>
    <w:rPr>
      <w:rFonts w:eastAsia="宋体"/>
      <w:sz w:val="24"/>
      <w:szCs w:val="24"/>
    </w:rPr>
  </w:style>
  <w:style w:type="paragraph" w:styleId="1096">
    <w:name w:val="msolistparagraph"/>
    <w:basedOn w:val="723"/>
    <w:next w:val="1096"/>
    <w:link w:val="723"/>
    <w:qFormat/>
    <w:pPr>
      <w:jc w:val="left"/>
      <w:spacing w:before="100" w:beforeAutospacing="1" w:after="100" w:afterAutospacing="1"/>
      <w:widowControl/>
    </w:pPr>
    <w:rPr>
      <w:rFonts w:ascii="宋体" w:hAnsi="宋体" w:eastAsia="宋体" w:cs="宋体"/>
      <w:sz w:val="24"/>
      <w:szCs w:val="24"/>
    </w:rPr>
  </w:style>
  <w:style w:type="paragraph" w:styleId="1097">
    <w:name w:val="xl44"/>
    <w:basedOn w:val="723"/>
    <w:next w:val="1097"/>
    <w:link w:val="723"/>
    <w:qFormat/>
    <w:pPr>
      <w:jc w:val="center"/>
      <w:spacing w:before="100" w:beforeAutospacing="1" w:after="100" w:afterAutospacing="1"/>
      <w:widowControl/>
      <w:pBdr>
        <w:left w:val="single" w:color="000000" w:sz="6" w:space="0"/>
      </w:pBdr>
    </w:pPr>
    <w:rPr>
      <w:rFonts w:ascii="Arial Unicode MS" w:hAnsi="Arial Unicode MS" w:eastAsia="Arial Unicode MS"/>
      <w:sz w:val="24"/>
      <w:szCs w:val="24"/>
    </w:rPr>
  </w:style>
  <w:style w:type="paragraph" w:styleId="1098">
    <w:name w:val="_Style 18"/>
    <w:basedOn w:val="723"/>
    <w:next w:val="1098"/>
    <w:link w:val="723"/>
    <w:qFormat/>
    <w:rPr>
      <w:rFonts w:eastAsia="宋体"/>
      <w:sz w:val="24"/>
      <w:szCs w:val="24"/>
    </w:rPr>
  </w:style>
  <w:style w:type="paragraph" w:styleId="1099">
    <w:name w:val="_Style 13"/>
    <w:basedOn w:val="723"/>
    <w:next w:val="723"/>
    <w:link w:val="723"/>
    <w:qFormat/>
    <w:rPr>
      <w:rFonts w:eastAsia="宋体"/>
      <w:sz w:val="24"/>
    </w:rPr>
  </w:style>
  <w:style w:type="paragraph" w:styleId="1100">
    <w:name w:val="标书正文"/>
    <w:basedOn w:val="759"/>
    <w:next w:val="1100"/>
    <w:link w:val="723"/>
    <w:qFormat/>
  </w:style>
  <w:style w:type="paragraph" w:styleId="1101">
    <w:name w:val="p0"/>
    <w:basedOn w:val="723"/>
    <w:next w:val="1101"/>
    <w:link w:val="723"/>
    <w:qFormat/>
    <w:pPr>
      <w:widowControl/>
    </w:pPr>
    <w:rPr>
      <w:rFonts w:eastAsia="宋体"/>
      <w:sz w:val="28"/>
      <w:szCs w:val="28"/>
    </w:rPr>
  </w:style>
  <w:style w:type="paragraph" w:styleId="1102">
    <w:name w:val="Default"/>
    <w:next w:val="1102"/>
    <w:link w:val="723"/>
    <w:qFormat/>
    <w:pPr>
      <w:widowControl w:val="off"/>
    </w:pPr>
    <w:rPr>
      <w:rFonts w:ascii="宋体" w:hAnsi="Times New Roman" w:cs="宋体"/>
      <w:color w:val="000000"/>
      <w:sz w:val="24"/>
      <w:szCs w:val="24"/>
      <w:lang w:val="en-US" w:eastAsia="zh-CN" w:bidi="ar-SA"/>
    </w:rPr>
  </w:style>
  <w:style w:type="character" w:styleId="1103">
    <w:name w:val="textcontents"/>
    <w:next w:val="1103"/>
    <w:link w:val="723"/>
    <w:qFormat/>
  </w:style>
  <w:style w:type="paragraph" w:styleId="1104">
    <w:name w:val="纯文本4"/>
    <w:basedOn w:val="723"/>
    <w:next w:val="1104"/>
    <w:link w:val="723"/>
    <w:qFormat/>
    <w:rPr>
      <w:rFonts w:ascii="宋体" w:hAnsi="Courier New"/>
    </w:rPr>
  </w:style>
  <w:style w:type="paragraph" w:styleId="1105">
    <w:name w:val="纯文本5"/>
    <w:basedOn w:val="723"/>
    <w:next w:val="1105"/>
    <w:link w:val="723"/>
    <w:qFormat/>
    <w:rPr>
      <w:rFonts w:ascii="宋体" w:hAnsi="Courier New"/>
    </w:rPr>
  </w:style>
  <w:style w:type="character" w:styleId="1106">
    <w:name w:val="font01"/>
    <w:next w:val="1106"/>
    <w:link w:val="723"/>
    <w:qFormat/>
    <w:rPr>
      <w:rFonts w:ascii="Times New Roman" w:hAnsi="Times New Roman" w:cs="Times New Roman"/>
      <w:color w:val="000000"/>
      <w:sz w:val="26"/>
      <w:szCs w:val="26"/>
      <w:u w:val="none"/>
    </w:rPr>
  </w:style>
  <w:style w:type="character" w:styleId="1107">
    <w:name w:val="font11"/>
    <w:next w:val="1107"/>
    <w:link w:val="723"/>
    <w:qFormat/>
    <w:rPr>
      <w:rFonts w:ascii="楷体_GB2312" w:eastAsia="楷体_GB2312" w:cs="楷体_GB2312"/>
      <w:color w:val="000000"/>
      <w:sz w:val="26"/>
      <w:szCs w:val="26"/>
      <w:u w:val="none"/>
    </w:rPr>
  </w:style>
  <w:style w:type="character" w:styleId="1108">
    <w:name w:val="日期 Char1"/>
    <w:next w:val="1108"/>
    <w:link w:val="723"/>
    <w:qFormat/>
    <w:rPr>
      <w:rFonts w:ascii="宋体" w:hAnsi="宋体" w:eastAsia="楷体_GB2312"/>
      <w:sz w:val="24"/>
    </w:rPr>
  </w:style>
  <w:style w:type="paragraph" w:styleId="1109">
    <w:name w:val="Plain Text1"/>
    <w:basedOn w:val="723"/>
    <w:next w:val="1109"/>
    <w:link w:val="723"/>
    <w:qFormat/>
    <w:rPr>
      <w:rFonts w:ascii="宋体" w:hAnsi="Courier New"/>
    </w:rPr>
  </w:style>
  <w:style w:type="character" w:styleId="1110">
    <w:name w:val="Andy_正文 Char"/>
    <w:next w:val="1110"/>
    <w:link w:val="1111"/>
    <w:qFormat/>
    <w:rPr>
      <w:rFonts w:ascii="Calibri" w:hAnsi="Calibri"/>
      <w:sz w:val="24"/>
      <w:szCs w:val="24"/>
    </w:rPr>
  </w:style>
  <w:style w:type="paragraph" w:styleId="1111">
    <w:name w:val="Andy_正文"/>
    <w:basedOn w:val="723"/>
    <w:next w:val="1111"/>
    <w:link w:val="1110"/>
    <w:qFormat/>
    <w:pPr>
      <w:ind w:firstLine="480"/>
      <w:spacing w:line="360" w:lineRule="auto"/>
    </w:pPr>
    <w:rPr>
      <w:rFonts w:ascii="Calibri" w:hAnsi="Calibri" w:eastAsia="宋体" w:cs="Times New Roman"/>
      <w:sz w:val="24"/>
      <w:szCs w:val="24"/>
    </w:rPr>
  </w:style>
  <w:style w:type="character" w:styleId="1112">
    <w:name w:val="正文缩进 字符1"/>
    <w:next w:val="1112"/>
    <w:link w:val="723"/>
    <w:qFormat/>
    <w:rPr>
      <w:rFonts w:eastAsia="楷体_GB2312"/>
      <w:sz w:val="24"/>
      <w:lang w:val="en-US" w:eastAsia="zh-CN" w:bidi="ar-SA"/>
    </w:rPr>
  </w:style>
  <w:style w:type="paragraph" w:styleId="1113">
    <w:name w:val="纯文本11"/>
    <w:basedOn w:val="723"/>
    <w:next w:val="1113"/>
    <w:link w:val="1114"/>
    <w:qFormat/>
    <w:rPr>
      <w:rFonts w:ascii="宋体" w:hAnsi="Courier New"/>
    </w:rPr>
  </w:style>
  <w:style w:type="character" w:styleId="1114">
    <w:name w:val="纯文本 Char Char"/>
    <w:next w:val="1114"/>
    <w:link w:val="1113"/>
    <w:qFormat/>
    <w:rPr>
      <w:rFonts w:ascii="宋体" w:hAnsi="Courier New" w:eastAsia="楷体_GB2312" w:cs="Times New Roman"/>
      <w:sz w:val="26"/>
      <w:szCs w:val="20"/>
    </w:rPr>
  </w:style>
  <w:style w:type="paragraph" w:styleId="1115">
    <w:name w:val="正文缩进1"/>
    <w:basedOn w:val="723"/>
    <w:next w:val="1115"/>
    <w:link w:val="723"/>
    <w:qFormat/>
    <w:pPr>
      <w:ind w:firstLine="420"/>
    </w:pPr>
    <w:rPr>
      <w:rFonts w:eastAsia="宋体"/>
      <w:sz w:val="21"/>
    </w:rPr>
  </w:style>
  <w:style w:type="character" w:styleId="1116">
    <w:name w:val="Plain Text Char"/>
    <w:next w:val="1116"/>
    <w:link w:val="723"/>
    <w:qFormat/>
    <w:rPr>
      <w:rFonts w:ascii="宋体" w:hAnsi="Courier New" w:eastAsia="楷体_GB2312"/>
      <w:sz w:val="26"/>
    </w:rPr>
  </w:style>
  <w:style w:type="paragraph" w:styleId="1117">
    <w:name w:val="纯文本6"/>
    <w:basedOn w:val="723"/>
    <w:next w:val="1117"/>
    <w:link w:val="723"/>
    <w:qFormat/>
    <w:rPr>
      <w:rFonts w:ascii="宋体" w:hAnsi="Courier New"/>
    </w:rPr>
  </w:style>
  <w:style w:type="paragraph" w:styleId="1118">
    <w:name w:val="段"/>
    <w:next w:val="723"/>
    <w:link w:val="1119"/>
    <w:qFormat/>
    <w:pPr>
      <w:ind w:firstLine="200"/>
      <w:jc w:val="both"/>
      <w:spacing w:line="360" w:lineRule="auto"/>
    </w:pPr>
    <w:rPr>
      <w:rFonts w:ascii="Calibri" w:hAnsi="Calibri"/>
      <w:sz w:val="24"/>
      <w:szCs w:val="22"/>
      <w:lang w:val="en-US" w:eastAsia="zh-CN" w:bidi="ar-SA"/>
    </w:rPr>
  </w:style>
  <w:style w:type="character" w:styleId="1119">
    <w:name w:val="段 Char"/>
    <w:next w:val="1119"/>
    <w:link w:val="1118"/>
    <w:qFormat/>
    <w:rPr>
      <w:rFonts w:ascii="Calibri" w:hAnsi="Calibri" w:eastAsia="宋体" w:cs="Times New Roman"/>
      <w:sz w:val="24"/>
    </w:rPr>
  </w:style>
  <w:style w:type="character" w:styleId="1120">
    <w:name w:val="标题 字符1"/>
    <w:next w:val="1120"/>
    <w:link w:val="723"/>
    <w:uiPriority w:val="10"/>
    <w:qFormat/>
    <w:rPr>
      <w:rFonts w:ascii="Calibri Light" w:hAnsi="Calibri Light"/>
      <w:b/>
      <w:bCs/>
      <w:sz w:val="32"/>
      <w:szCs w:val="32"/>
    </w:rPr>
  </w:style>
  <w:style w:type="character" w:styleId="1121">
    <w:name w:val="font122"/>
    <w:next w:val="1121"/>
    <w:link w:val="723"/>
    <w:qFormat/>
    <w:rPr>
      <w:rFonts w:ascii="Times New Roman" w:hAnsi="Times New Roman" w:cs="Times New Roman"/>
      <w:color w:val="000000"/>
      <w:sz w:val="21"/>
      <w:szCs w:val="21"/>
      <w:u w:val="none"/>
    </w:rPr>
  </w:style>
  <w:style w:type="character" w:styleId="1122">
    <w:name w:val="正文首行缩进 Char Char"/>
    <w:next w:val="1122"/>
    <w:link w:val="1123"/>
    <w:qFormat/>
    <w:rPr>
      <w:szCs w:val="24"/>
    </w:rPr>
  </w:style>
  <w:style w:type="paragraph" w:styleId="1123">
    <w:name w:val="正文首行缩进1"/>
    <w:basedOn w:val="759"/>
    <w:next w:val="1123"/>
    <w:link w:val="1122"/>
    <w:qFormat/>
    <w:rPr>
      <w:rFonts w:ascii="等线" w:hAnsi="等线" w:eastAsia="宋体" w:cs="Times New Roman"/>
      <w:sz w:val="21"/>
      <w:szCs w:val="24"/>
    </w:rPr>
  </w:style>
  <w:style w:type="character" w:styleId="1124">
    <w:name w:val="para1"/>
    <w:next w:val="1124"/>
    <w:link w:val="723"/>
    <w:qFormat/>
    <w:rPr>
      <w:rFonts w:ascii="Arial" w:hAnsi="Arial" w:cs="Arial"/>
      <w:sz w:val="18"/>
      <w:szCs w:val="18"/>
    </w:rPr>
  </w:style>
  <w:style w:type="character" w:styleId="1125">
    <w:name w:val="lh151"/>
    <w:next w:val="1125"/>
    <w:link w:val="723"/>
    <w:qFormat/>
    <w:rPr>
      <w:color w:val="666666"/>
    </w:rPr>
  </w:style>
  <w:style w:type="character" w:styleId="1126">
    <w:name w:val="正文文本缩进 2 字符1"/>
    <w:next w:val="1126"/>
    <w:link w:val="723"/>
    <w:qFormat/>
    <w:rPr>
      <w:rFonts w:ascii="宋体"/>
      <w:b/>
      <w:bCs/>
      <w:sz w:val="24"/>
    </w:rPr>
  </w:style>
  <w:style w:type="character" w:styleId="1127">
    <w:name w:val="纯文本 字符1"/>
    <w:next w:val="1127"/>
    <w:link w:val="723"/>
    <w:qFormat/>
    <w:rPr>
      <w:rFonts w:ascii="宋体" w:hAnsi="Courier New" w:eastAsia="楷体_GB2312"/>
      <w:sz w:val="26"/>
      <w:lang w:val="en-US" w:eastAsia="zh-CN" w:bidi="ar-SA"/>
    </w:rPr>
  </w:style>
  <w:style w:type="character" w:styleId="1128">
    <w:name w:val="批注框文本 字符1"/>
    <w:next w:val="1128"/>
    <w:link w:val="723"/>
    <w:uiPriority w:val="99"/>
    <w:semiHidden/>
    <w:qFormat/>
    <w:rPr>
      <w:rFonts w:eastAsia="楷体_GB2312"/>
      <w:sz w:val="18"/>
      <w:szCs w:val="18"/>
    </w:rPr>
  </w:style>
  <w:style w:type="character" w:styleId="1129">
    <w:name w:val="页眉 字符1"/>
    <w:next w:val="1129"/>
    <w:link w:val="723"/>
    <w:uiPriority w:val="99"/>
    <w:qFormat/>
    <w:rPr>
      <w:rFonts w:eastAsia="楷体_GB2312"/>
      <w:sz w:val="18"/>
    </w:rPr>
  </w:style>
  <w:style w:type="character" w:styleId="1130">
    <w:name w:val="正文缩进 字符2"/>
    <w:next w:val="1130"/>
    <w:link w:val="723"/>
    <w:qFormat/>
    <w:rPr>
      <w:rFonts w:eastAsia="楷体_GB2312"/>
      <w:sz w:val="24"/>
    </w:rPr>
  </w:style>
  <w:style w:type="character" w:styleId="1131">
    <w:name w:val="font41"/>
    <w:next w:val="1131"/>
    <w:link w:val="723"/>
    <w:qFormat/>
    <w:rPr>
      <w:rFonts w:ascii="Times New Roman" w:hAnsi="Times New Roman" w:cs="Times New Roman"/>
      <w:color w:val="000000"/>
      <w:sz w:val="21"/>
      <w:szCs w:val="21"/>
      <w:u w:val="none"/>
    </w:rPr>
  </w:style>
  <w:style w:type="character" w:styleId="1132">
    <w:name w:val="Plain Text Char1"/>
    <w:next w:val="1132"/>
    <w:link w:val="1133"/>
    <w:qFormat/>
    <w:rPr>
      <w:rFonts w:ascii="宋体" w:hAnsi="Courier New" w:eastAsia="楷体_GB2312"/>
      <w:sz w:val="26"/>
    </w:rPr>
  </w:style>
  <w:style w:type="paragraph" w:styleId="1133">
    <w:name w:val="纯文本7"/>
    <w:basedOn w:val="723"/>
    <w:next w:val="1133"/>
    <w:link w:val="1132"/>
    <w:qFormat/>
    <w:rPr>
      <w:rFonts w:ascii="宋体" w:hAnsi="Courier New" w:cs="Times New Roman"/>
      <w:szCs w:val="22"/>
    </w:rPr>
  </w:style>
  <w:style w:type="character" w:styleId="1134">
    <w:name w:val="批注文字 字符1"/>
    <w:next w:val="1134"/>
    <w:link w:val="723"/>
    <w:uiPriority w:val="99"/>
    <w:semiHidden/>
    <w:qFormat/>
    <w:rPr>
      <w:rFonts w:eastAsia="楷体_GB2312"/>
      <w:sz w:val="26"/>
    </w:rPr>
  </w:style>
  <w:style w:type="character" w:styleId="1135">
    <w:name w:val="font31"/>
    <w:next w:val="1135"/>
    <w:link w:val="723"/>
    <w:qFormat/>
    <w:rPr>
      <w:rFonts w:hint="eastAsia" w:ascii="宋体" w:hAnsi="宋体" w:eastAsia="宋体" w:cs="宋体"/>
      <w:color w:val="000000"/>
      <w:sz w:val="21"/>
      <w:szCs w:val="21"/>
      <w:u w:val="none"/>
    </w:rPr>
  </w:style>
  <w:style w:type="character" w:styleId="1136">
    <w:name w:val="纯文本 Char1"/>
    <w:next w:val="1136"/>
    <w:link w:val="723"/>
    <w:qFormat/>
    <w:rPr>
      <w:rFonts w:ascii="宋体" w:hAnsi="Courier New" w:eastAsia="楷体_GB2312" w:cs="Times New Roman"/>
      <w:sz w:val="28"/>
      <w:szCs w:val="20"/>
    </w:rPr>
  </w:style>
  <w:style w:type="character" w:styleId="1137">
    <w:name w:val="普通文字 Char Char"/>
    <w:next w:val="1137"/>
    <w:link w:val="723"/>
    <w:qFormat/>
    <w:rPr>
      <w:rFonts w:ascii="宋体" w:hAnsi="Courier New" w:eastAsia="楷体_GB2312"/>
      <w:sz w:val="26"/>
      <w:lang w:val="en-US" w:eastAsia="zh-CN" w:bidi="ar-SA"/>
    </w:rPr>
  </w:style>
  <w:style w:type="character" w:styleId="1138">
    <w:name w:val="页脚 字符1"/>
    <w:next w:val="1138"/>
    <w:link w:val="723"/>
    <w:uiPriority w:val="99"/>
    <w:qFormat/>
    <w:rPr>
      <w:rFonts w:eastAsia="楷体_GB2312"/>
      <w:sz w:val="18"/>
    </w:rPr>
  </w:style>
  <w:style w:type="character" w:styleId="1139">
    <w:name w:val="样式 首行缩进:  2 字符 Char"/>
    <w:next w:val="1139"/>
    <w:link w:val="1140"/>
    <w:qFormat/>
    <w:rPr>
      <w:rFonts w:eastAsia="仿宋_GB2312"/>
      <w:sz w:val="24"/>
    </w:rPr>
  </w:style>
  <w:style w:type="paragraph" w:styleId="1140">
    <w:name w:val="样式 首行缩进:  2 字符"/>
    <w:basedOn w:val="723"/>
    <w:next w:val="1140"/>
    <w:link w:val="1139"/>
    <w:qFormat/>
    <w:pPr>
      <w:ind w:firstLine="560"/>
      <w:spacing w:line="360" w:lineRule="auto"/>
    </w:pPr>
    <w:rPr>
      <w:rFonts w:ascii="等线" w:hAnsi="等线" w:eastAsia="仿宋_GB2312" w:cs="Times New Roman"/>
      <w:sz w:val="24"/>
      <w:szCs w:val="22"/>
    </w:rPr>
  </w:style>
  <w:style w:type="character" w:styleId="1141">
    <w:name w:val="图例 Char"/>
    <w:next w:val="1141"/>
    <w:link w:val="1142"/>
    <w:qFormat/>
    <w:rPr>
      <w:rFonts w:ascii="仿宋" w:hAnsi="仿宋" w:eastAsia="仿宋"/>
      <w:b/>
    </w:rPr>
  </w:style>
  <w:style w:type="paragraph" w:styleId="1142">
    <w:name w:val="图例"/>
    <w:basedOn w:val="723"/>
    <w:next w:val="1142"/>
    <w:link w:val="1141"/>
    <w:qFormat/>
    <w:pPr>
      <w:ind w:right="74"/>
      <w:jc w:val="center"/>
      <w:spacing w:before="150" w:after="150" w:line="360" w:lineRule="auto"/>
    </w:pPr>
    <w:rPr>
      <w:rFonts w:ascii="仿宋" w:hAnsi="仿宋" w:eastAsia="仿宋" w:cs="Times New Roman"/>
      <w:b/>
      <w:sz w:val="21"/>
      <w:szCs w:val="22"/>
    </w:rPr>
  </w:style>
  <w:style w:type="character" w:styleId="1143">
    <w:name w:val="font21"/>
    <w:next w:val="1143"/>
    <w:link w:val="723"/>
    <w:qFormat/>
    <w:rPr>
      <w:rFonts w:hint="eastAsia" w:ascii="宋体" w:hAnsi="宋体" w:eastAsia="宋体" w:cs="宋体"/>
      <w:color w:val="000000"/>
      <w:sz w:val="21"/>
      <w:szCs w:val="21"/>
      <w:u w:val="none"/>
    </w:rPr>
  </w:style>
  <w:style w:type="character" w:styleId="1144">
    <w:name w:val="正文1 Char"/>
    <w:next w:val="1144"/>
    <w:link w:val="1145"/>
    <w:qFormat/>
    <w:rPr>
      <w:rFonts w:ascii="宋体"/>
      <w:sz w:val="34"/>
    </w:rPr>
  </w:style>
  <w:style w:type="paragraph" w:styleId="1145">
    <w:name w:val="正文1"/>
    <w:next w:val="723"/>
    <w:link w:val="1144"/>
    <w:qFormat/>
    <w:pPr>
      <w:jc w:val="both"/>
      <w:spacing w:line="312" w:lineRule="atLeast"/>
      <w:widowControl w:val="off"/>
    </w:pPr>
    <w:rPr>
      <w:rFonts w:ascii="宋体"/>
      <w:sz w:val="34"/>
      <w:szCs w:val="22"/>
      <w:lang w:val="en-US" w:eastAsia="zh-CN" w:bidi="ar-SA"/>
    </w:rPr>
  </w:style>
  <w:style w:type="character" w:styleId="1146">
    <w:name w:val="p141"/>
    <w:next w:val="1146"/>
    <w:link w:val="723"/>
    <w:qFormat/>
    <w:rPr>
      <w:color w:val="000000"/>
      <w:sz w:val="28"/>
      <w:szCs w:val="28"/>
      <w:u w:val="none"/>
    </w:rPr>
  </w:style>
  <w:style w:type="character" w:styleId="1147">
    <w:name w:val="正文文本首行缩进 2 字符1"/>
    <w:next w:val="1147"/>
    <w:link w:val="723"/>
    <w:uiPriority w:val="99"/>
    <w:semiHidden/>
    <w:qFormat/>
    <w:rPr>
      <w:rFonts w:ascii="Times New Roman" w:hAnsi="Times New Roman" w:eastAsia="楷体_GB2312" w:cs="Times New Roman"/>
      <w:sz w:val="26"/>
      <w:szCs w:val="20"/>
    </w:rPr>
  </w:style>
  <w:style w:type="character" w:styleId="1148">
    <w:name w:val="正文文本 3 字符1"/>
    <w:next w:val="1148"/>
    <w:link w:val="723"/>
    <w:uiPriority w:val="99"/>
    <w:semiHidden/>
    <w:qFormat/>
    <w:rPr>
      <w:rFonts w:ascii="Times New Roman" w:hAnsi="Times New Roman" w:eastAsia="楷体_GB2312" w:cs="Times New Roman"/>
      <w:sz w:val="16"/>
      <w:szCs w:val="16"/>
    </w:rPr>
  </w:style>
  <w:style w:type="paragraph" w:styleId="1149">
    <w:name w:val="Plain Text2"/>
    <w:basedOn w:val="723"/>
    <w:next w:val="1149"/>
    <w:link w:val="723"/>
    <w:qFormat/>
    <w:rPr>
      <w:rFonts w:ascii="宋体" w:hAnsi="Courier New" w:eastAsia="Times New Roman"/>
      <w:szCs w:val="22"/>
    </w:rPr>
  </w:style>
  <w:style w:type="paragraph" w:styleId="1150">
    <w:name w:val="CL 正文1.25"/>
    <w:basedOn w:val="723"/>
    <w:next w:val="1150"/>
    <w:link w:val="723"/>
    <w:qFormat/>
    <w:pPr>
      <w:ind w:firstLine="200"/>
      <w:spacing w:line="300" w:lineRule="auto"/>
    </w:pPr>
    <w:rPr>
      <w:rFonts w:ascii="Cambria" w:hAnsi="Cambria" w:eastAsia="宋体"/>
      <w:sz w:val="24"/>
      <w:szCs w:val="21"/>
    </w:rPr>
  </w:style>
  <w:style w:type="paragraph" w:styleId="1151">
    <w:name w:val="正文段"/>
    <w:basedOn w:val="723"/>
    <w:next w:val="1151"/>
    <w:link w:val="723"/>
    <w:qFormat/>
    <w:pPr>
      <w:ind w:firstLine="454"/>
      <w:spacing w:after="240" w:line="240" w:lineRule="atLeast"/>
      <w:widowControl/>
    </w:pPr>
    <w:rPr>
      <w:rFonts w:ascii="宋体" w:eastAsia="宋体"/>
      <w:sz w:val="24"/>
    </w:rPr>
  </w:style>
  <w:style w:type="paragraph" w:styleId="1152">
    <w:name w:val="Default Paragraph Font Para Char"/>
    <w:basedOn w:val="723"/>
    <w:next w:val="1152"/>
    <w:link w:val="723"/>
    <w:semiHidden/>
    <w:qFormat/>
    <w:pPr>
      <w:jc w:val="left"/>
      <w:spacing w:after="160" w:line="240" w:lineRule="exact"/>
      <w:widowControl/>
    </w:pPr>
    <w:rPr>
      <w:rFonts w:ascii="Verdana" w:hAnsi="Verdana" w:eastAsia="宋体"/>
      <w:sz w:val="20"/>
      <w:lang w:eastAsia="en-US"/>
    </w:rPr>
  </w:style>
  <w:style w:type="paragraph" w:styleId="1153">
    <w:name w:val="xl56"/>
    <w:basedOn w:val="723"/>
    <w:next w:val="1153"/>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54">
    <w:name w:val="xl46"/>
    <w:basedOn w:val="723"/>
    <w:next w:val="1154"/>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55">
    <w:name w:val="小四 段落 宋体 Char Char Char Char Char Char Char"/>
    <w:basedOn w:val="747"/>
    <w:next w:val="1155"/>
    <w:link w:val="723"/>
    <w:semiHidden/>
    <w:qFormat/>
    <w:pPr>
      <w:tabs>
        <w:tab w:val="left" w:pos="420" w:leader="none"/>
      </w:tabs>
    </w:pPr>
  </w:style>
  <w:style w:type="paragraph" w:styleId="1156">
    <w:name w:val="Char Char Char1 Char Char Char Char"/>
    <w:basedOn w:val="723"/>
    <w:next w:val="1156"/>
    <w:link w:val="723"/>
    <w:qFormat/>
    <w:pPr>
      <w:jc w:val="left"/>
      <w:spacing w:after="160" w:line="240" w:lineRule="exact"/>
      <w:widowControl/>
    </w:pPr>
    <w:rPr>
      <w:rFonts w:eastAsia="宋体"/>
      <w:sz w:val="24"/>
      <w:szCs w:val="24"/>
    </w:rPr>
  </w:style>
  <w:style w:type="paragraph" w:styleId="1157">
    <w:name w:val="xl45"/>
    <w:basedOn w:val="723"/>
    <w:next w:val="1157"/>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58">
    <w:name w:val="font5"/>
    <w:basedOn w:val="723"/>
    <w:next w:val="1158"/>
    <w:link w:val="723"/>
    <w:qFormat/>
    <w:pPr>
      <w:jc w:val="left"/>
      <w:spacing w:before="100" w:beforeAutospacing="1" w:after="100" w:afterAutospacing="1"/>
      <w:widowControl/>
    </w:pPr>
    <w:rPr>
      <w:rFonts w:hint="eastAsia" w:ascii="宋体" w:hAnsi="宋体" w:eastAsia="宋体"/>
      <w:sz w:val="18"/>
      <w:szCs w:val="18"/>
    </w:rPr>
  </w:style>
  <w:style w:type="paragraph" w:styleId="1159">
    <w:name w:val="xl47"/>
    <w:basedOn w:val="723"/>
    <w:next w:val="1159"/>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60">
    <w:name w:val="小四 段落 宋体 Char Char Char Char Char Char"/>
    <w:basedOn w:val="1155"/>
    <w:next w:val="1160"/>
    <w:link w:val="723"/>
    <w:qFormat/>
    <w:pPr>
      <w:tabs>
        <w:tab w:val="left" w:pos="420" w:leader="none"/>
      </w:tabs>
    </w:pPr>
  </w:style>
  <w:style w:type="paragraph" w:styleId="1161">
    <w:name w:val="xl63"/>
    <w:basedOn w:val="723"/>
    <w:next w:val="1161"/>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62">
    <w:name w:val="xl48"/>
    <w:basedOn w:val="723"/>
    <w:next w:val="1162"/>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63">
    <w:name w:val="xl49"/>
    <w:basedOn w:val="723"/>
    <w:next w:val="1163"/>
    <w:link w:val="723"/>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64">
    <w:name w:val="xl50"/>
    <w:basedOn w:val="723"/>
    <w:next w:val="1164"/>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65">
    <w:name w:val="xl51"/>
    <w:basedOn w:val="723"/>
    <w:next w:val="1165"/>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66">
    <w:name w:val="xl52"/>
    <w:basedOn w:val="723"/>
    <w:next w:val="1166"/>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7">
    <w:name w:val="xl53"/>
    <w:basedOn w:val="723"/>
    <w:next w:val="1167"/>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8">
    <w:name w:val="xl54"/>
    <w:basedOn w:val="723"/>
    <w:next w:val="1168"/>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9">
    <w:name w:val="xl55"/>
    <w:basedOn w:val="723"/>
    <w:next w:val="1169"/>
    <w:link w:val="72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70">
    <w:name w:val="xl57"/>
    <w:basedOn w:val="723"/>
    <w:next w:val="1170"/>
    <w:link w:val="7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71">
    <w:name w:val="xl58"/>
    <w:basedOn w:val="723"/>
    <w:next w:val="1171"/>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72">
    <w:name w:val="xl59"/>
    <w:basedOn w:val="723"/>
    <w:next w:val="1172"/>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73">
    <w:name w:val="xl60"/>
    <w:basedOn w:val="723"/>
    <w:next w:val="1173"/>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74">
    <w:name w:val="xl61"/>
    <w:basedOn w:val="723"/>
    <w:next w:val="1174"/>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75">
    <w:name w:val="xl62"/>
    <w:basedOn w:val="723"/>
    <w:next w:val="1175"/>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76">
    <w:name w:val="xl64"/>
    <w:basedOn w:val="723"/>
    <w:next w:val="1176"/>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77">
    <w:name w:val="xl65"/>
    <w:basedOn w:val="723"/>
    <w:next w:val="1177"/>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78">
    <w:name w:val="font6"/>
    <w:basedOn w:val="723"/>
    <w:next w:val="1178"/>
    <w:link w:val="723"/>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179">
    <w:name w:val="Char Char3 Char Char Char Char Char Char Char Char Char Char Char Char Char Char Char Char"/>
    <w:basedOn w:val="723"/>
    <w:next w:val="1179"/>
    <w:link w:val="723"/>
    <w:qFormat/>
    <w:pPr>
      <w:ind w:firstLine="200"/>
      <w:jc w:val="left"/>
      <w:spacing w:after="160" w:line="360" w:lineRule="auto"/>
      <w:widowControl/>
    </w:pPr>
    <w:rPr>
      <w:rFonts w:ascii="宋体" w:hAnsi="宋体" w:eastAsia="宋体"/>
      <w:sz w:val="24"/>
    </w:rPr>
  </w:style>
  <w:style w:type="paragraph" w:styleId="1180">
    <w:name w:val="font7"/>
    <w:basedOn w:val="723"/>
    <w:next w:val="1180"/>
    <w:link w:val="723"/>
    <w:qFormat/>
    <w:pPr>
      <w:jc w:val="left"/>
      <w:spacing w:before="100" w:beforeAutospacing="1" w:after="100" w:afterAutospacing="1"/>
      <w:widowControl/>
    </w:pPr>
    <w:rPr>
      <w:rFonts w:eastAsia="宋体"/>
      <w:sz w:val="20"/>
    </w:rPr>
  </w:style>
  <w:style w:type="paragraph" w:styleId="1181">
    <w:name w:val="cardlist-value"/>
    <w:basedOn w:val="723"/>
    <w:next w:val="1181"/>
    <w:link w:val="723"/>
    <w:qFormat/>
    <w:pPr>
      <w:jc w:val="left"/>
      <w:spacing w:before="100" w:beforeAutospacing="1" w:after="100" w:afterAutospacing="1"/>
      <w:widowControl/>
    </w:pPr>
    <w:rPr>
      <w:rFonts w:ascii="宋体" w:hAnsi="宋体" w:eastAsia="宋体" w:cs="宋体"/>
      <w:sz w:val="24"/>
      <w:szCs w:val="24"/>
    </w:rPr>
  </w:style>
  <w:style w:type="paragraph" w:styleId="1182">
    <w:name w:val="Table Paragraph"/>
    <w:basedOn w:val="723"/>
    <w:next w:val="1182"/>
    <w:link w:val="723"/>
    <w:uiPriority w:val="1"/>
    <w:qFormat/>
    <w:pPr>
      <w:jc w:val="left"/>
    </w:pPr>
    <w:rPr>
      <w:rFonts w:ascii="Calibri" w:hAnsi="Calibri" w:eastAsia="宋体"/>
      <w:sz w:val="22"/>
      <w:szCs w:val="22"/>
      <w:lang w:eastAsia="en-US"/>
    </w:rPr>
  </w:style>
  <w:style w:type="paragraph" w:styleId="1183">
    <w:name w:val="Char Char11"/>
    <w:basedOn w:val="723"/>
    <w:next w:val="1183"/>
    <w:link w:val="723"/>
    <w:qFormat/>
    <w:pPr>
      <w:jc w:val="left"/>
      <w:spacing w:after="160" w:line="240" w:lineRule="exact"/>
      <w:widowControl/>
    </w:pPr>
    <w:rPr>
      <w:rFonts w:ascii="Verdana" w:hAnsi="Verdana" w:eastAsia="宋体"/>
      <w:sz w:val="20"/>
      <w:lang w:eastAsia="en-US"/>
    </w:rPr>
  </w:style>
  <w:style w:type="paragraph" w:styleId="1184">
    <w:name w:val="Char2"/>
    <w:basedOn w:val="723"/>
    <w:next w:val="1184"/>
    <w:link w:val="723"/>
    <w:qFormat/>
    <w:rPr>
      <w:rFonts w:eastAsia="宋体"/>
      <w:sz w:val="21"/>
      <w:szCs w:val="24"/>
    </w:rPr>
  </w:style>
  <w:style w:type="paragraph" w:styleId="1185">
    <w:name w:val="_Style 49"/>
    <w:basedOn w:val="723"/>
    <w:next w:val="1185"/>
    <w:link w:val="723"/>
    <w:qFormat/>
    <w:pPr>
      <w:spacing w:line="360" w:lineRule="auto"/>
    </w:pPr>
    <w:rPr>
      <w:rFonts w:ascii="Tahoma" w:hAnsi="Tahoma" w:eastAsia="宋体"/>
      <w:sz w:val="24"/>
    </w:rPr>
  </w:style>
  <w:style w:type="paragraph" w:styleId="1186">
    <w:name w:val="样式 左  0 字符"/>
    <w:basedOn w:val="723"/>
    <w:next w:val="1186"/>
    <w:link w:val="723"/>
    <w:qFormat/>
    <w:pPr>
      <w:ind w:firstLine="200"/>
      <w:spacing w:line="360" w:lineRule="auto"/>
    </w:pPr>
    <w:rPr>
      <w:rFonts w:ascii="宋体" w:eastAsia="宋体" w:cs="Century"/>
      <w:sz w:val="24"/>
    </w:rPr>
  </w:style>
  <w:style w:type="paragraph" w:styleId="1187">
    <w:name w:val="TOC 标题11"/>
    <w:basedOn w:val="724"/>
    <w:next w:val="723"/>
    <w:link w:val="723"/>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188">
    <w:name w:val="_Style 12"/>
    <w:basedOn w:val="752"/>
    <w:next w:val="1188"/>
    <w:link w:val="723"/>
    <w:qFormat/>
  </w:style>
  <w:style w:type="paragraph" w:styleId="1189">
    <w:name w:val="afont"/>
    <w:basedOn w:val="723"/>
    <w:next w:val="1189"/>
    <w:link w:val="723"/>
    <w:qFormat/>
    <w:pPr>
      <w:jc w:val="left"/>
      <w:spacing w:before="100" w:after="100" w:line="285" w:lineRule="atLeast"/>
      <w:widowControl/>
    </w:pPr>
    <w:rPr>
      <w:rFonts w:ascii="宋体" w:hAnsi="宋体" w:eastAsia="宋体"/>
      <w:sz w:val="18"/>
    </w:rPr>
  </w:style>
  <w:style w:type="paragraph" w:styleId="1190">
    <w:name w:val="样式1"/>
    <w:basedOn w:val="723"/>
    <w:next w:val="1190"/>
    <w:link w:val="723"/>
    <w:qFormat/>
    <w:pPr>
      <w:ind w:left="709" w:hanging="709"/>
      <w:tabs>
        <w:tab w:val="left" w:pos="709" w:leader="none"/>
      </w:tabs>
    </w:pPr>
    <w:rPr>
      <w:rFonts w:ascii="宋体" w:hAnsi="宋体" w:eastAsia="宋体"/>
      <w:sz w:val="21"/>
      <w:szCs w:val="21"/>
    </w:rPr>
  </w:style>
  <w:style w:type="paragraph" w:styleId="1191">
    <w:name w:val="Char Char1 Char Char Char Char Char Char Char Char Char Char Char Char Char Char Char Char"/>
    <w:basedOn w:val="723"/>
    <w:next w:val="1191"/>
    <w:link w:val="723"/>
    <w:qFormat/>
    <w:pPr>
      <w:jc w:val="left"/>
      <w:spacing w:after="160" w:line="240" w:lineRule="exact"/>
      <w:widowControl/>
    </w:pPr>
    <w:rPr>
      <w:rFonts w:ascii="宋体" w:hAnsi="宋体" w:eastAsia="宋体"/>
      <w:sz w:val="24"/>
      <w:szCs w:val="24"/>
    </w:rPr>
  </w:style>
  <w:style w:type="paragraph" w:styleId="1192">
    <w:name w:val="正文(其它)"/>
    <w:basedOn w:val="723"/>
    <w:next w:val="1192"/>
    <w:link w:val="723"/>
    <w:qFormat/>
    <w:pPr>
      <w:jc w:val="center"/>
      <w:spacing w:line="312" w:lineRule="auto"/>
    </w:pPr>
    <w:rPr>
      <w:rFonts w:ascii="黑体" w:hAnsi="宋体" w:eastAsia="黑体"/>
      <w:sz w:val="32"/>
      <w:szCs w:val="32"/>
    </w:rPr>
  </w:style>
  <w:style w:type="paragraph" w:styleId="1193">
    <w:name w:val="杨昂超式样黑体主"/>
    <w:basedOn w:val="723"/>
    <w:next w:val="1193"/>
    <w:link w:val="723"/>
    <w:qFormat/>
    <w:rPr>
      <w:rFonts w:ascii="方正黑体简体" w:eastAsia="方正黑体简体"/>
      <w:sz w:val="24"/>
      <w:szCs w:val="24"/>
    </w:rPr>
  </w:style>
  <w:style w:type="paragraph" w:styleId="1194">
    <w:name w:val="Char Char1 Char Char Char Char Char Char Char"/>
    <w:basedOn w:val="723"/>
    <w:next w:val="1194"/>
    <w:link w:val="723"/>
    <w:qFormat/>
    <w:rPr>
      <w:rFonts w:eastAsia="宋体"/>
      <w:sz w:val="21"/>
    </w:rPr>
  </w:style>
  <w:style w:type="paragraph" w:styleId="1195">
    <w:name w:val="编号1"/>
    <w:basedOn w:val="723"/>
    <w:next w:val="1195"/>
    <w:link w:val="723"/>
    <w:qFormat/>
    <w:pPr>
      <w:numPr>
        <w:ilvl w:val="0"/>
        <w:numId w:val="1"/>
      </w:numPr>
      <w:ind w:right="210"/>
      <w:tabs>
        <w:tab w:val="left" w:pos="360" w:leader="none"/>
      </w:tabs>
    </w:pPr>
    <w:rPr>
      <w:rFonts w:ascii="宋体" w:hAnsi="宋体" w:eastAsia="宋体"/>
      <w:spacing w:val="10"/>
      <w:sz w:val="21"/>
      <w:szCs w:val="24"/>
    </w:rPr>
  </w:style>
  <w:style w:type="paragraph" w:styleId="1196">
    <w:name w:val="msonormal"/>
    <w:basedOn w:val="723"/>
    <w:next w:val="1196"/>
    <w:link w:val="723"/>
    <w:qFormat/>
    <w:pPr>
      <w:jc w:val="left"/>
      <w:spacing w:before="100" w:beforeAutospacing="1" w:after="100" w:afterAutospacing="1"/>
      <w:widowControl/>
    </w:pPr>
    <w:rPr>
      <w:rFonts w:ascii="宋体" w:hAnsi="宋体" w:eastAsia="宋体" w:cs="宋体"/>
      <w:sz w:val="24"/>
      <w:szCs w:val="24"/>
    </w:rPr>
  </w:style>
  <w:style w:type="table" w:styleId="1197">
    <w:name w:val="网格型1"/>
    <w:basedOn w:val="734"/>
    <w:next w:val="1197"/>
    <w:link w:val="723"/>
    <w:qFormat/>
    <w:pPr>
      <w:jc w:val="both"/>
      <w:widowControl w:val="off"/>
    </w:pPr>
    <w:rPr>
      <w:rFonts w:ascii="Times New Roman" w:hAnsi="Times New Roman" w:eastAsia="宋体" w:cs="Times New Roman"/>
    </w:rPr>
    <w:tblPr/>
  </w:style>
  <w:style w:type="table" w:styleId="1198">
    <w:name w:val="网格型2"/>
    <w:basedOn w:val="734"/>
    <w:next w:val="1198"/>
    <w:link w:val="723"/>
    <w:qFormat/>
    <w:rPr>
      <w:rFonts w:ascii="Times New Roman" w:hAnsi="Times New Roman" w:eastAsia="宋体" w:cs="Times New Roman"/>
    </w:rPr>
    <w:tblPr/>
  </w:style>
  <w:style w:type="table" w:styleId="1199">
    <w:name w:val="网格型11"/>
    <w:basedOn w:val="734"/>
    <w:next w:val="1199"/>
    <w:link w:val="723"/>
    <w:uiPriority w:val="59"/>
    <w:unhideWhenUsed/>
    <w:qFormat/>
    <w:rPr>
      <w:rFonts w:ascii="Calibri" w:hAnsi="Calibri" w:eastAsia="宋体" w:cs="Times New Roman"/>
    </w:rPr>
    <w:tblPr/>
  </w:style>
  <w:style w:type="table" w:styleId="1200">
    <w:name w:val="Table Normal"/>
    <w:next w:val="1200"/>
    <w:link w:val="723"/>
    <w:uiPriority w:val="2"/>
    <w:unhideWhenUsed/>
    <w:qFormat/>
    <w:rPr>
      <w:rFonts w:ascii="Times New Roman" w:hAnsi="Times New Roman"/>
      <w:lang w:val="en-US" w:eastAsia="zh-CN" w:bidi="ar-SA"/>
    </w:rPr>
    <w:tblPr/>
  </w:style>
  <w:style w:type="character" w:styleId="1201">
    <w:name w:val="NormalCharacter1"/>
    <w:next w:val="1201"/>
    <w:link w:val="723"/>
    <w:semiHidden/>
    <w:qFormat/>
  </w:style>
  <w:style w:type="character" w:styleId="1202">
    <w:name w:val="未处理的提及1"/>
    <w:next w:val="1202"/>
    <w:link w:val="723"/>
    <w:uiPriority w:val="99"/>
    <w:unhideWhenUsed/>
    <w:qFormat/>
    <w:rPr>
      <w:color w:val="605e5c"/>
      <w:shd w:val="clear" w:color="auto" w:fill="e1dfdd"/>
    </w:rPr>
  </w:style>
  <w:style w:type="character" w:styleId="1203">
    <w:name w:val="未处理的提及2"/>
    <w:next w:val="1203"/>
    <w:link w:val="723"/>
    <w:uiPriority w:val="99"/>
    <w:unhideWhenUsed/>
    <w:qFormat/>
    <w:rPr>
      <w:color w:val="605e5c"/>
      <w:shd w:val="clear" w:color="auto" w:fill="e1dfdd"/>
    </w:rPr>
  </w:style>
  <w:style w:type="paragraph" w:styleId="1204">
    <w:name w:val="修订2"/>
    <w:next w:val="1204"/>
    <w:link w:val="723"/>
    <w:uiPriority w:val="99"/>
    <w:semiHidden/>
    <w:qFormat/>
    <w:rPr>
      <w:rFonts w:ascii="Times New Roman" w:hAnsi="Times New Roman" w:eastAsia="楷体_GB2312"/>
      <w:sz w:val="26"/>
      <w:lang w:val="en-US" w:eastAsia="zh-CN" w:bidi="ar-SA"/>
    </w:rPr>
  </w:style>
  <w:style w:type="paragraph" w:styleId="1205">
    <w:name w:val="表格字体"/>
    <w:basedOn w:val="723"/>
    <w:next w:val="1205"/>
    <w:link w:val="723"/>
    <w:qFormat/>
    <w:pPr>
      <w:ind w:firstLine="723"/>
      <w:spacing w:line="400" w:lineRule="exact"/>
      <w:widowControl/>
    </w:pPr>
    <w:rPr>
      <w:rFonts w:hint="eastAsia" w:eastAsia="仿宋" w:cs="宋体"/>
      <w:bCs/>
      <w:color w:val="000000"/>
      <w:sz w:val="24"/>
      <w:szCs w:val="18"/>
    </w:rPr>
  </w:style>
  <w:style w:type="paragraph" w:styleId="1206">
    <w:name w:val="纯文本8"/>
    <w:basedOn w:val="723"/>
    <w:next w:val="1206"/>
    <w:link w:val="723"/>
    <w:qFormat/>
    <w:rPr>
      <w:rFonts w:ascii="宋体" w:hAnsi="Courier New"/>
      <w:sz w:val="28"/>
    </w:rPr>
  </w:style>
  <w:style w:type="paragraph" w:styleId="1207">
    <w:name w:val="修订3"/>
    <w:next w:val="1207"/>
    <w:link w:val="723"/>
    <w:uiPriority w:val="99"/>
    <w:semiHidden/>
    <w:qFormat/>
    <w:rPr>
      <w:rFonts w:ascii="Times New Roman" w:hAnsi="Times New Roman" w:eastAsia="楷体_GB2312"/>
      <w:sz w:val="26"/>
      <w:lang w:val="en-US" w:eastAsia="zh-CN" w:bidi="ar-SA"/>
    </w:rPr>
  </w:style>
  <w:style w:type="paragraph" w:styleId="1208">
    <w:name w:val="备注"/>
    <w:basedOn w:val="723"/>
    <w:next w:val="1208"/>
    <w:link w:val="723"/>
    <w:qFormat/>
    <w:pPr>
      <w:ind w:left="1024"/>
      <w:jc w:val="left"/>
      <w:spacing w:line="400" w:lineRule="exact"/>
      <w:widowControl/>
    </w:pPr>
    <w:rPr>
      <w:rFonts w:hint="eastAsia" w:ascii="宋体" w:hAnsi="宋体" w:eastAsia="宋体" w:cs="宋体"/>
      <w:b/>
      <w:color w:val="000000"/>
      <w:sz w:val="24"/>
      <w:szCs w:val="18"/>
    </w:rPr>
  </w:style>
  <w:style w:type="paragraph" w:styleId="1209">
    <w:name w:val="正文文本1"/>
    <w:basedOn w:val="723"/>
    <w:next w:val="1209"/>
    <w:link w:val="723"/>
    <w:uiPriority w:val="99"/>
    <w:unhideWhenUsed/>
    <w:qFormat/>
    <w:rPr>
      <w:rFonts w:ascii="楷体_GB2312"/>
      <w:b/>
      <w:bCs/>
      <w:sz w:val="28"/>
    </w:rPr>
  </w:style>
  <w:style w:type="paragraph" w:styleId="1210">
    <w:name w:val="正文缩进11"/>
    <w:basedOn w:val="723"/>
    <w:next w:val="723"/>
    <w:link w:val="723"/>
    <w:unhideWhenUsed/>
    <w:qFormat/>
    <w:pPr>
      <w:ind w:firstLine="420"/>
      <w:jc w:val="left"/>
    </w:pPr>
    <w:rPr>
      <w:sz w:val="24"/>
    </w:rPr>
  </w:style>
  <w:style w:type="paragraph" w:styleId="1211">
    <w:name w:val="列出段落4"/>
    <w:basedOn w:val="723"/>
    <w:next w:val="1211"/>
    <w:link w:val="723"/>
    <w:uiPriority w:val="99"/>
    <w:qFormat/>
    <w:pPr>
      <w:ind w:firstLine="420"/>
    </w:pPr>
  </w:style>
  <w:style w:type="paragraph" w:styleId="1212">
    <w:name w:val="页脚1"/>
    <w:basedOn w:val="723"/>
    <w:next w:val="1212"/>
    <w:link w:val="723"/>
    <w:uiPriority w:val="99"/>
    <w:unhideWhenUsed/>
    <w:qFormat/>
    <w:pPr>
      <w:jc w:val="left"/>
      <w:tabs>
        <w:tab w:val="center" w:pos="4153" w:leader="none"/>
        <w:tab w:val="right" w:pos="8306" w:leader="none"/>
      </w:tabs>
    </w:pPr>
    <w:rPr>
      <w:rFonts w:ascii="Calibri" w:hAnsi="Calibri" w:eastAsia="宋体"/>
      <w:sz w:val="18"/>
      <w:szCs w:val="18"/>
    </w:rPr>
  </w:style>
  <w:style w:type="table" w:styleId="1213">
    <w:name w:val="无格式表格 12"/>
    <w:basedOn w:val="734"/>
    <w:next w:val="1213"/>
    <w:link w:val="723"/>
    <w:uiPriority w:val="59"/>
    <w:qFormat/>
    <w:rPr>
      <w:rFonts w:ascii="等线" w:hAnsi="等线" w:eastAsia="宋体" w:cs="Times New Roman"/>
    </w:rPr>
    <w:tblPr/>
  </w:style>
  <w:style w:type="table" w:styleId="1214">
    <w:name w:val="无格式表格 22"/>
    <w:basedOn w:val="734"/>
    <w:next w:val="1214"/>
    <w:link w:val="723"/>
    <w:uiPriority w:val="59"/>
    <w:qFormat/>
    <w:rPr>
      <w:rFonts w:ascii="等线" w:hAnsi="等线" w:eastAsia="宋体" w:cs="Times New Roman"/>
    </w:rPr>
    <w:tblPr/>
  </w:style>
  <w:style w:type="table" w:styleId="1215">
    <w:name w:val="无格式表格 32"/>
    <w:basedOn w:val="734"/>
    <w:next w:val="1215"/>
    <w:link w:val="723"/>
    <w:uiPriority w:val="99"/>
    <w:rPr>
      <w:rFonts w:ascii="等线" w:hAnsi="等线" w:eastAsia="宋体" w:cs="Times New Roman"/>
    </w:rPr>
    <w:tblPr/>
  </w:style>
  <w:style w:type="table" w:styleId="1216">
    <w:name w:val="无格式表格 42"/>
    <w:basedOn w:val="734"/>
    <w:next w:val="1216"/>
    <w:link w:val="723"/>
    <w:uiPriority w:val="99"/>
    <w:rPr>
      <w:rFonts w:ascii="等线" w:hAnsi="等线" w:eastAsia="宋体" w:cs="Times New Roman"/>
    </w:rPr>
    <w:tblPr/>
  </w:style>
  <w:style w:type="table" w:styleId="1217">
    <w:name w:val="无格式表格 52"/>
    <w:basedOn w:val="734"/>
    <w:next w:val="1217"/>
    <w:link w:val="723"/>
    <w:uiPriority w:val="99"/>
    <w:qFormat/>
    <w:rPr>
      <w:rFonts w:ascii="等线" w:hAnsi="等线" w:eastAsia="宋体" w:cs="Times New Roman"/>
    </w:rPr>
    <w:tblPr/>
  </w:style>
  <w:style w:type="table" w:styleId="1218">
    <w:name w:val="网格表 1 浅色2"/>
    <w:basedOn w:val="734"/>
    <w:next w:val="1218"/>
    <w:link w:val="723"/>
    <w:uiPriority w:val="99"/>
    <w:qFormat/>
    <w:rPr>
      <w:rFonts w:ascii="等线" w:hAnsi="等线" w:eastAsia="宋体" w:cs="Times New Roman"/>
    </w:rPr>
    <w:tblPr/>
  </w:style>
  <w:style w:type="table" w:styleId="1219">
    <w:name w:val="网格表 22"/>
    <w:basedOn w:val="734"/>
    <w:next w:val="1219"/>
    <w:link w:val="723"/>
    <w:uiPriority w:val="99"/>
    <w:qFormat/>
    <w:rPr>
      <w:rFonts w:ascii="等线" w:hAnsi="等线" w:eastAsia="宋体" w:cs="Times New Roman"/>
    </w:rPr>
    <w:tblPr/>
  </w:style>
  <w:style w:type="table" w:styleId="1220">
    <w:name w:val="网格表 32"/>
    <w:basedOn w:val="734"/>
    <w:next w:val="1220"/>
    <w:link w:val="723"/>
    <w:uiPriority w:val="99"/>
    <w:qFormat/>
    <w:rPr>
      <w:rFonts w:ascii="等线" w:hAnsi="等线" w:eastAsia="宋体" w:cs="Times New Roman"/>
    </w:rPr>
    <w:tblPr/>
  </w:style>
  <w:style w:type="table" w:styleId="1221">
    <w:name w:val="网格表 42"/>
    <w:basedOn w:val="734"/>
    <w:next w:val="1221"/>
    <w:link w:val="723"/>
    <w:uiPriority w:val="59"/>
    <w:qFormat/>
    <w:rPr>
      <w:rFonts w:ascii="等线" w:hAnsi="等线" w:eastAsia="宋体" w:cs="Times New Roman"/>
    </w:rPr>
    <w:tblPr/>
  </w:style>
  <w:style w:type="table" w:styleId="1222">
    <w:name w:val="网格表 5 深色2"/>
    <w:basedOn w:val="734"/>
    <w:next w:val="1222"/>
    <w:link w:val="723"/>
    <w:uiPriority w:val="99"/>
    <w:qFormat/>
    <w:rPr>
      <w:rFonts w:ascii="等线" w:hAnsi="等线" w:eastAsia="宋体" w:cs="Times New Roman"/>
    </w:rPr>
    <w:tblPr/>
  </w:style>
  <w:style w:type="table" w:styleId="1223">
    <w:name w:val="网格表 6 彩色2"/>
    <w:basedOn w:val="734"/>
    <w:next w:val="1223"/>
    <w:link w:val="723"/>
    <w:uiPriority w:val="99"/>
    <w:rPr>
      <w:rFonts w:ascii="等线" w:hAnsi="等线" w:eastAsia="宋体" w:cs="Times New Roman"/>
    </w:rPr>
    <w:tblPr/>
  </w:style>
  <w:style w:type="table" w:styleId="1224">
    <w:name w:val="网格表 7 彩色2"/>
    <w:basedOn w:val="734"/>
    <w:next w:val="1224"/>
    <w:link w:val="723"/>
    <w:uiPriority w:val="99"/>
    <w:rPr>
      <w:rFonts w:ascii="等线" w:hAnsi="等线" w:eastAsia="宋体" w:cs="Times New Roman"/>
    </w:rPr>
    <w:tblPr/>
  </w:style>
  <w:style w:type="table" w:styleId="1225">
    <w:name w:val="清单表 1 浅色2"/>
    <w:basedOn w:val="734"/>
    <w:next w:val="1225"/>
    <w:link w:val="723"/>
    <w:uiPriority w:val="99"/>
    <w:qFormat/>
    <w:rPr>
      <w:rFonts w:ascii="等线" w:hAnsi="等线" w:eastAsia="宋体" w:cs="Times New Roman"/>
    </w:rPr>
    <w:tblPr/>
  </w:style>
  <w:style w:type="table" w:styleId="1226">
    <w:name w:val="清单表 22"/>
    <w:basedOn w:val="734"/>
    <w:next w:val="1226"/>
    <w:link w:val="723"/>
    <w:uiPriority w:val="99"/>
    <w:rPr>
      <w:rFonts w:ascii="等线" w:hAnsi="等线" w:eastAsia="宋体" w:cs="Times New Roman"/>
    </w:rPr>
    <w:tblPr/>
  </w:style>
  <w:style w:type="table" w:styleId="1227">
    <w:name w:val="清单表 32"/>
    <w:basedOn w:val="734"/>
    <w:next w:val="1227"/>
    <w:link w:val="723"/>
    <w:uiPriority w:val="99"/>
    <w:qFormat/>
    <w:rPr>
      <w:rFonts w:ascii="等线" w:hAnsi="等线" w:eastAsia="宋体" w:cs="Times New Roman"/>
    </w:rPr>
    <w:tblPr/>
  </w:style>
  <w:style w:type="table" w:styleId="1228">
    <w:name w:val="清单表 42"/>
    <w:basedOn w:val="734"/>
    <w:next w:val="1228"/>
    <w:link w:val="723"/>
    <w:uiPriority w:val="99"/>
    <w:rPr>
      <w:rFonts w:ascii="等线" w:hAnsi="等线" w:eastAsia="宋体" w:cs="Times New Roman"/>
    </w:rPr>
    <w:tblPr/>
  </w:style>
  <w:style w:type="table" w:styleId="1229">
    <w:name w:val="清单表 5 深色2"/>
    <w:basedOn w:val="734"/>
    <w:next w:val="1229"/>
    <w:link w:val="723"/>
    <w:uiPriority w:val="99"/>
    <w:rPr>
      <w:rFonts w:ascii="等线" w:hAnsi="等线" w:eastAsia="宋体" w:cs="Times New Roman"/>
    </w:rPr>
    <w:tblPr/>
  </w:style>
  <w:style w:type="table" w:styleId="1230">
    <w:name w:val="清单表 6 彩色2"/>
    <w:basedOn w:val="734"/>
    <w:next w:val="1230"/>
    <w:link w:val="723"/>
    <w:uiPriority w:val="99"/>
    <w:qFormat/>
    <w:rPr>
      <w:rFonts w:ascii="等线" w:hAnsi="等线" w:eastAsia="宋体" w:cs="Times New Roman"/>
    </w:rPr>
    <w:tblPr/>
  </w:style>
  <w:style w:type="table" w:styleId="1231">
    <w:name w:val="清单表 7 彩色2"/>
    <w:basedOn w:val="734"/>
    <w:next w:val="1231"/>
    <w:link w:val="723"/>
    <w:uiPriority w:val="99"/>
    <w:qFormat/>
    <w:rPr>
      <w:rFonts w:ascii="等线" w:hAnsi="等线" w:eastAsia="宋体" w:cs="Times New Roman"/>
    </w:rPr>
    <w:tblPr/>
  </w:style>
  <w:style w:type="paragraph" w:styleId="1232">
    <w:name w:val="TOC 标题2"/>
    <w:next w:val="1232"/>
    <w:link w:val="723"/>
    <w:uiPriority w:val="39"/>
    <w:unhideWhenUsed/>
    <w:qFormat/>
    <w:rPr>
      <w:lang w:val="en-US" w:eastAsia="zh-CN" w:bidi="ar-SA"/>
    </w:rPr>
  </w:style>
  <w:style w:type="paragraph" w:styleId="1233">
    <w:name w:val="二级小标题"/>
    <w:basedOn w:val="723"/>
    <w:next w:val="1233"/>
    <w:link w:val="723"/>
    <w:qFormat/>
    <w:rPr>
      <w:rFonts w:hint="eastAsia"/>
      <w:b/>
      <w:bCs/>
    </w:rPr>
  </w:style>
  <w:style w:type="paragraph" w:styleId="1234">
    <w:name w:val="正文文本缩进11"/>
    <w:basedOn w:val="723"/>
    <w:next w:val="723"/>
    <w:link w:val="723"/>
    <w:qFormat/>
    <w:pPr>
      <w:ind w:firstLine="435"/>
      <w:spacing w:line="480" w:lineRule="exact"/>
    </w:pPr>
    <w:rPr>
      <w:sz w:val="24"/>
    </w:rPr>
  </w:style>
  <w:style w:type="character" w:styleId="1235" w:default="1">
    <w:name w:val="Default Paragraph Font"/>
    <w:uiPriority w:val="1"/>
    <w:semiHidden/>
    <w:unhideWhenUsed/>
  </w:style>
  <w:style w:type="numbering" w:styleId="1236" w:default="1">
    <w:name w:val="No List"/>
    <w:uiPriority w:val="99"/>
    <w:semiHidden/>
    <w:unhideWhenUsed/>
  </w:style>
  <w:style w:type="table" w:styleId="12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陆帅晔</cp:lastModifiedBy>
  <cp:revision>5</cp:revision>
  <dcterms:created xsi:type="dcterms:W3CDTF">2025-08-24T01:26:00Z</dcterms:created>
  <dcterms:modified xsi:type="dcterms:W3CDTF">2025-11-05T07:52:45Z</dcterms:modified>
  <cp:version>1048576</cp:version>
</cp:coreProperties>
</file>